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BFAF" w14:textId="77777777" w:rsidR="00D56437" w:rsidRPr="0086419B" w:rsidRDefault="004F2CEB" w:rsidP="00D56437">
      <w:r w:rsidRPr="0086419B">
        <w:rPr>
          <w:noProof/>
          <w:lang w:eastAsia="es-ES"/>
        </w:rPr>
        <w:drawing>
          <wp:anchor distT="0" distB="0" distL="114300" distR="114300" simplePos="0" relativeHeight="251664384" behindDoc="0" locked="0" layoutInCell="1" allowOverlap="1" wp14:anchorId="4A345F55" wp14:editId="563A1ED0">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096C8DDF" w14:textId="77777777" w:rsidR="00D56437" w:rsidRPr="0086419B" w:rsidRDefault="00D56437" w:rsidP="00D56437"/>
    <w:p w14:paraId="248B49B4" w14:textId="77777777" w:rsidR="00D56437" w:rsidRPr="0086419B" w:rsidRDefault="00D56437" w:rsidP="00D56437">
      <w:pPr>
        <w:spacing w:after="0" w:line="240" w:lineRule="auto"/>
      </w:pPr>
    </w:p>
    <w:p w14:paraId="0E973FE2" w14:textId="77777777" w:rsidR="00D56437" w:rsidRPr="0086419B" w:rsidRDefault="00D56437" w:rsidP="00D56437"/>
    <w:p w14:paraId="5B7A6B23" w14:textId="77777777" w:rsidR="00D56437" w:rsidRPr="0086419B" w:rsidRDefault="00D56437" w:rsidP="00D56437"/>
    <w:p w14:paraId="026CF3BD" w14:textId="77777777" w:rsidR="00D56437" w:rsidRPr="0086419B" w:rsidRDefault="00D56437" w:rsidP="00D56437"/>
    <w:p w14:paraId="28CF3ADB" w14:textId="77777777" w:rsidR="004F2CEB" w:rsidRPr="0086419B" w:rsidRDefault="004F2CEB" w:rsidP="004F2CEB">
      <w:pPr>
        <w:spacing w:after="0"/>
        <w:jc w:val="center"/>
        <w:rPr>
          <w:b/>
          <w:sz w:val="48"/>
          <w:szCs w:val="48"/>
        </w:rPr>
      </w:pPr>
    </w:p>
    <w:p w14:paraId="3111A8F2" w14:textId="77777777" w:rsidR="004F2CEB" w:rsidRPr="0086419B" w:rsidRDefault="004F2CEB" w:rsidP="004F2CEB">
      <w:pPr>
        <w:spacing w:after="0"/>
        <w:jc w:val="center"/>
        <w:rPr>
          <w:b/>
          <w:sz w:val="48"/>
          <w:szCs w:val="48"/>
        </w:rPr>
      </w:pPr>
    </w:p>
    <w:p w14:paraId="0D8B1E0A" w14:textId="77777777" w:rsidR="004F2CEB" w:rsidRDefault="004F2CEB" w:rsidP="004F2CEB">
      <w:pPr>
        <w:spacing w:after="0"/>
        <w:jc w:val="center"/>
        <w:rPr>
          <w:b/>
          <w:sz w:val="36"/>
          <w:szCs w:val="48"/>
        </w:rPr>
      </w:pPr>
      <w:r w:rsidRPr="0086419B">
        <w:rPr>
          <w:b/>
          <w:sz w:val="36"/>
          <w:szCs w:val="48"/>
        </w:rPr>
        <w:t xml:space="preserve">Autoinforme </w:t>
      </w:r>
      <w:r w:rsidR="00247EB5">
        <w:rPr>
          <w:b/>
          <w:sz w:val="36"/>
          <w:szCs w:val="48"/>
        </w:rPr>
        <w:t xml:space="preserve">de seguimiento curso </w:t>
      </w:r>
      <w:r w:rsidR="008A3C79">
        <w:rPr>
          <w:b/>
          <w:sz w:val="36"/>
          <w:szCs w:val="48"/>
        </w:rPr>
        <w:t>20/21</w:t>
      </w:r>
    </w:p>
    <w:p w14:paraId="2D0C1C1B" w14:textId="77777777" w:rsidR="00247EB5" w:rsidRPr="0086419B" w:rsidRDefault="00247EB5" w:rsidP="004F2CEB">
      <w:pPr>
        <w:spacing w:after="0"/>
        <w:jc w:val="center"/>
        <w:rPr>
          <w:b/>
          <w:sz w:val="36"/>
          <w:szCs w:val="48"/>
        </w:rPr>
      </w:pPr>
      <w:r>
        <w:rPr>
          <w:b/>
          <w:sz w:val="36"/>
          <w:szCs w:val="48"/>
        </w:rPr>
        <w:t>(Convocatoria febrero 2022)</w:t>
      </w:r>
    </w:p>
    <w:p w14:paraId="449F13AC" w14:textId="77777777" w:rsidR="004F2CEB" w:rsidRPr="0086419B" w:rsidRDefault="004F2CEB" w:rsidP="004F2CEB">
      <w:pPr>
        <w:spacing w:after="0"/>
        <w:jc w:val="center"/>
        <w:rPr>
          <w:b/>
          <w:sz w:val="48"/>
          <w:szCs w:val="48"/>
        </w:rPr>
      </w:pPr>
    </w:p>
    <w:p w14:paraId="25C27B7D" w14:textId="77777777" w:rsidR="008A3C79" w:rsidRPr="00247EB5" w:rsidRDefault="006C41BD" w:rsidP="00AE14B1">
      <w:pPr>
        <w:jc w:val="center"/>
        <w:rPr>
          <w:b/>
          <w:sz w:val="36"/>
          <w:szCs w:val="36"/>
        </w:rPr>
      </w:pPr>
      <w:r w:rsidRPr="00247EB5">
        <w:rPr>
          <w:b/>
          <w:sz w:val="36"/>
          <w:szCs w:val="36"/>
        </w:rPr>
        <w:t>M</w:t>
      </w:r>
      <w:r w:rsidR="0053409A" w:rsidRPr="00247EB5">
        <w:rPr>
          <w:b/>
          <w:sz w:val="36"/>
          <w:szCs w:val="36"/>
        </w:rPr>
        <w:t>Á</w:t>
      </w:r>
      <w:r w:rsidR="00247EB5" w:rsidRPr="00247EB5">
        <w:rPr>
          <w:b/>
          <w:sz w:val="36"/>
          <w:szCs w:val="36"/>
        </w:rPr>
        <w:t>STER EN:</w:t>
      </w:r>
      <w:r w:rsidR="008A3C79">
        <w:rPr>
          <w:b/>
          <w:sz w:val="36"/>
          <w:szCs w:val="36"/>
        </w:rPr>
        <w:t xml:space="preserve"> Agroalimentación</w:t>
      </w:r>
    </w:p>
    <w:p w14:paraId="31082142" w14:textId="77777777" w:rsidR="004F2CEB" w:rsidRPr="00247EB5" w:rsidRDefault="006C41BD" w:rsidP="00AE14B1">
      <w:pPr>
        <w:jc w:val="center"/>
        <w:rPr>
          <w:b/>
          <w:sz w:val="36"/>
          <w:szCs w:val="36"/>
        </w:rPr>
      </w:pPr>
      <w:r w:rsidRPr="00247EB5">
        <w:rPr>
          <w:b/>
          <w:sz w:val="36"/>
          <w:szCs w:val="36"/>
        </w:rPr>
        <w:t>CENTRO</w:t>
      </w:r>
      <w:r w:rsidR="00D135EE">
        <w:rPr>
          <w:b/>
          <w:sz w:val="36"/>
          <w:szCs w:val="36"/>
        </w:rPr>
        <w:t>/</w:t>
      </w:r>
      <w:r w:rsidR="00247EB5" w:rsidRPr="00247EB5">
        <w:rPr>
          <w:b/>
          <w:sz w:val="36"/>
          <w:szCs w:val="36"/>
        </w:rPr>
        <w:t>S:</w:t>
      </w:r>
      <w:r w:rsidR="008A3C79">
        <w:rPr>
          <w:b/>
          <w:sz w:val="36"/>
          <w:szCs w:val="36"/>
        </w:rPr>
        <w:t xml:space="preserve"> Facultad de Ciencias (Universidad de Cádiz) </w:t>
      </w:r>
      <w:r w:rsidR="008A3C79" w:rsidRPr="003852BE">
        <w:rPr>
          <w:b/>
          <w:sz w:val="36"/>
          <w:szCs w:val="36"/>
        </w:rPr>
        <w:t>e Instituto de Estudios de Posgrado</w:t>
      </w:r>
      <w:r w:rsidR="008A3C79">
        <w:rPr>
          <w:b/>
          <w:sz w:val="36"/>
          <w:szCs w:val="36"/>
        </w:rPr>
        <w:t xml:space="preserve"> (Universidad de Córdoba)</w:t>
      </w:r>
    </w:p>
    <w:p w14:paraId="1FF0B952" w14:textId="77777777" w:rsidR="00D56437" w:rsidRPr="0086419B" w:rsidRDefault="00D56437" w:rsidP="00D56437">
      <w:pPr>
        <w:jc w:val="center"/>
      </w:pPr>
    </w:p>
    <w:p w14:paraId="7102382E" w14:textId="77777777" w:rsidR="004F2CEB" w:rsidRPr="0086419B" w:rsidRDefault="004F2CEB" w:rsidP="00D56437">
      <w:pPr>
        <w:jc w:val="center"/>
      </w:pPr>
    </w:p>
    <w:p w14:paraId="7D324228" w14:textId="77777777" w:rsidR="00D56437" w:rsidRPr="0086419B" w:rsidRDefault="00D56437" w:rsidP="00D56437">
      <w:pPr>
        <w:jc w:val="center"/>
      </w:pPr>
    </w:p>
    <w:p w14:paraId="0C20E5B5"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50A7CDA9" w14:textId="77777777" w:rsidTr="00D56437">
        <w:trPr>
          <w:jc w:val="center"/>
        </w:trPr>
        <w:tc>
          <w:tcPr>
            <w:tcW w:w="4423" w:type="dxa"/>
            <w:shd w:val="clear" w:color="auto" w:fill="00607C"/>
          </w:tcPr>
          <w:p w14:paraId="6518F6E4" w14:textId="77777777" w:rsidR="00D56437" w:rsidRPr="0086419B" w:rsidRDefault="00D56437" w:rsidP="00D56437">
            <w:pPr>
              <w:spacing w:after="0" w:line="240" w:lineRule="auto"/>
              <w:rPr>
                <w:b/>
                <w:color w:val="FFFFFF"/>
              </w:rPr>
            </w:pPr>
            <w:r w:rsidRPr="0086419B">
              <w:rPr>
                <w:b/>
                <w:color w:val="FFFFFF"/>
              </w:rPr>
              <w:t>Elaborado:</w:t>
            </w:r>
          </w:p>
        </w:tc>
        <w:tc>
          <w:tcPr>
            <w:tcW w:w="3456" w:type="dxa"/>
            <w:shd w:val="clear" w:color="auto" w:fill="00607C"/>
          </w:tcPr>
          <w:p w14:paraId="09C47421" w14:textId="77777777" w:rsidR="00D56437" w:rsidRPr="0086419B" w:rsidRDefault="00D56437" w:rsidP="00D56437">
            <w:pPr>
              <w:spacing w:after="0" w:line="240" w:lineRule="auto"/>
              <w:rPr>
                <w:b/>
                <w:color w:val="FFFFFF"/>
              </w:rPr>
            </w:pPr>
            <w:r w:rsidRPr="0086419B">
              <w:rPr>
                <w:b/>
                <w:color w:val="FFFFFF"/>
              </w:rPr>
              <w:t>Aprobado:</w:t>
            </w:r>
          </w:p>
        </w:tc>
      </w:tr>
      <w:tr w:rsidR="00D56437" w:rsidRPr="0086419B" w14:paraId="589FAE47" w14:textId="77777777" w:rsidTr="00D56437">
        <w:trPr>
          <w:jc w:val="center"/>
        </w:trPr>
        <w:tc>
          <w:tcPr>
            <w:tcW w:w="4423" w:type="dxa"/>
          </w:tcPr>
          <w:p w14:paraId="5089A4A9" w14:textId="77777777" w:rsidR="00D56437" w:rsidRPr="0086419B" w:rsidRDefault="00D56437" w:rsidP="00846050">
            <w:pPr>
              <w:spacing w:after="0" w:line="240" w:lineRule="auto"/>
            </w:pPr>
            <w:r w:rsidRPr="0086419B">
              <w:t>Comisión de Garantía de Calidad del Centro</w:t>
            </w:r>
          </w:p>
        </w:tc>
        <w:tc>
          <w:tcPr>
            <w:tcW w:w="3456" w:type="dxa"/>
          </w:tcPr>
          <w:p w14:paraId="4B7EC02F" w14:textId="77777777" w:rsidR="00D56437" w:rsidRPr="0086419B" w:rsidRDefault="00EB38FA" w:rsidP="00846050">
            <w:pPr>
              <w:spacing w:after="0" w:line="240" w:lineRule="auto"/>
            </w:pPr>
            <w:r>
              <w:t>Junta de centro</w:t>
            </w:r>
          </w:p>
        </w:tc>
      </w:tr>
      <w:tr w:rsidR="00D56437" w:rsidRPr="0086419B" w14:paraId="4B436D84" w14:textId="77777777" w:rsidTr="00D56437">
        <w:trPr>
          <w:jc w:val="center"/>
        </w:trPr>
        <w:tc>
          <w:tcPr>
            <w:tcW w:w="4423" w:type="dxa"/>
            <w:shd w:val="clear" w:color="auto" w:fill="00607C"/>
          </w:tcPr>
          <w:p w14:paraId="00EDC685" w14:textId="42FD07BE" w:rsidR="00D56437" w:rsidRPr="0086419B" w:rsidRDefault="00D56437" w:rsidP="00D56437">
            <w:pPr>
              <w:spacing w:after="0" w:line="240" w:lineRule="auto"/>
              <w:rPr>
                <w:b/>
                <w:color w:val="FFFFFF"/>
              </w:rPr>
            </w:pPr>
            <w:r w:rsidRPr="0086419B">
              <w:rPr>
                <w:b/>
                <w:color w:val="FFFFFF"/>
              </w:rPr>
              <w:t xml:space="preserve">Fecha: </w:t>
            </w:r>
            <w:r w:rsidR="006C7C81">
              <w:rPr>
                <w:b/>
                <w:color w:val="FFFFFF"/>
              </w:rPr>
              <w:t>24/02/2022</w:t>
            </w:r>
          </w:p>
        </w:tc>
        <w:tc>
          <w:tcPr>
            <w:tcW w:w="3456" w:type="dxa"/>
            <w:shd w:val="clear" w:color="auto" w:fill="00607C"/>
          </w:tcPr>
          <w:p w14:paraId="3CE57EEF" w14:textId="3FD92049" w:rsidR="00D56437" w:rsidRPr="0086419B" w:rsidRDefault="00D56437" w:rsidP="00D56437">
            <w:pPr>
              <w:spacing w:after="0" w:line="240" w:lineRule="auto"/>
              <w:rPr>
                <w:b/>
                <w:color w:val="FFFFFF"/>
              </w:rPr>
            </w:pPr>
            <w:r w:rsidRPr="0086419B">
              <w:rPr>
                <w:b/>
                <w:color w:val="FFFFFF"/>
              </w:rPr>
              <w:t xml:space="preserve">Fecha: </w:t>
            </w:r>
            <w:r w:rsidR="006C7C81">
              <w:rPr>
                <w:b/>
                <w:color w:val="FFFFFF"/>
              </w:rPr>
              <w:t>25/02/2022</w:t>
            </w:r>
          </w:p>
        </w:tc>
      </w:tr>
    </w:tbl>
    <w:p w14:paraId="74CD4C53" w14:textId="77777777" w:rsidR="00520B2D" w:rsidRPr="0086419B" w:rsidRDefault="00520B2D" w:rsidP="00520B2D">
      <w:pPr>
        <w:tabs>
          <w:tab w:val="left" w:pos="6540"/>
        </w:tabs>
      </w:pPr>
    </w:p>
    <w:p w14:paraId="02F5F129" w14:textId="77777777" w:rsidR="004F2CEB" w:rsidRPr="0086419B" w:rsidRDefault="004F2CEB" w:rsidP="00E22456">
      <w:pPr>
        <w:tabs>
          <w:tab w:val="left" w:pos="6540"/>
        </w:tabs>
        <w:jc w:val="both"/>
      </w:pPr>
      <w:r w:rsidRPr="0086419B">
        <w:br w:type="page"/>
      </w:r>
    </w:p>
    <w:p w14:paraId="30315FAD" w14:textId="77777777" w:rsidR="00D56437" w:rsidRPr="0086419B"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646DEEC6" w14:textId="77777777" w:rsidTr="00247EB5">
        <w:trPr>
          <w:jc w:val="center"/>
        </w:trPr>
        <w:tc>
          <w:tcPr>
            <w:tcW w:w="5000" w:type="pct"/>
            <w:shd w:val="clear" w:color="auto" w:fill="D9D9D9"/>
          </w:tcPr>
          <w:p w14:paraId="71304903" w14:textId="77777777" w:rsidR="0053409A" w:rsidRPr="000C41E0" w:rsidRDefault="0053409A" w:rsidP="0053409A">
            <w:pPr>
              <w:pStyle w:val="Prrafodelista"/>
              <w:spacing w:before="60" w:after="60" w:line="240" w:lineRule="auto"/>
              <w:ind w:left="23"/>
              <w:contextualSpacing w:val="0"/>
              <w:rPr>
                <w:b/>
                <w:i/>
              </w:rPr>
            </w:pPr>
            <w:r>
              <w:rPr>
                <w:b/>
                <w:i/>
              </w:rPr>
              <w:t>DATOS DE IDENTIFICACIÓN DEL TÍTULO</w:t>
            </w:r>
          </w:p>
        </w:tc>
      </w:tr>
    </w:tbl>
    <w:p w14:paraId="686E1757" w14:textId="77777777" w:rsidR="0053409A" w:rsidRDefault="0053409A" w:rsidP="00D56437">
      <w:pPr>
        <w:spacing w:after="0"/>
      </w:pPr>
    </w:p>
    <w:tbl>
      <w:tblPr>
        <w:tblStyle w:val="Tablaconcuadrcula"/>
        <w:tblW w:w="0" w:type="auto"/>
        <w:tblLook w:val="04A0" w:firstRow="1" w:lastRow="0" w:firstColumn="1" w:lastColumn="0" w:noHBand="0" w:noVBand="1"/>
      </w:tblPr>
      <w:tblGrid>
        <w:gridCol w:w="5206"/>
        <w:gridCol w:w="770"/>
        <w:gridCol w:w="3169"/>
      </w:tblGrid>
      <w:tr w:rsidR="008A3C79" w14:paraId="4A175911" w14:textId="77777777" w:rsidTr="0053409A">
        <w:tc>
          <w:tcPr>
            <w:tcW w:w="5206" w:type="dxa"/>
            <w:vAlign w:val="center"/>
          </w:tcPr>
          <w:p w14:paraId="628256A5" w14:textId="77777777" w:rsidR="008A3C79" w:rsidRDefault="008A3C79" w:rsidP="008A3C79">
            <w:pPr>
              <w:spacing w:before="60" w:after="60"/>
            </w:pPr>
            <w:r>
              <w:t>Universidad</w:t>
            </w:r>
          </w:p>
        </w:tc>
        <w:tc>
          <w:tcPr>
            <w:tcW w:w="3939" w:type="dxa"/>
            <w:gridSpan w:val="2"/>
            <w:vAlign w:val="center"/>
          </w:tcPr>
          <w:p w14:paraId="3D42E350" w14:textId="77777777" w:rsidR="008A3C79" w:rsidRDefault="008A3C79" w:rsidP="008A3C79">
            <w:pPr>
              <w:spacing w:before="60" w:after="60"/>
            </w:pPr>
            <w:r>
              <w:t>Universidad de Cádiz</w:t>
            </w:r>
          </w:p>
        </w:tc>
      </w:tr>
      <w:tr w:rsidR="008A3C79" w14:paraId="724DE779" w14:textId="77777777" w:rsidTr="0053409A">
        <w:tc>
          <w:tcPr>
            <w:tcW w:w="5206" w:type="dxa"/>
            <w:vAlign w:val="center"/>
          </w:tcPr>
          <w:p w14:paraId="7CC0B551" w14:textId="77777777" w:rsidR="008A3C79" w:rsidRDefault="008A3C79" w:rsidP="008A3C79">
            <w:pPr>
              <w:spacing w:before="60" w:after="60"/>
            </w:pPr>
            <w:r>
              <w:t>ID Ministerio</w:t>
            </w:r>
          </w:p>
        </w:tc>
        <w:tc>
          <w:tcPr>
            <w:tcW w:w="3939" w:type="dxa"/>
            <w:gridSpan w:val="2"/>
            <w:vAlign w:val="center"/>
          </w:tcPr>
          <w:p w14:paraId="07F8E3F5" w14:textId="77777777" w:rsidR="008A3C79" w:rsidRDefault="008A3C79" w:rsidP="008A3C79">
            <w:pPr>
              <w:spacing w:before="60" w:after="60"/>
            </w:pPr>
            <w:r w:rsidRPr="003852BE">
              <w:t>4315564</w:t>
            </w:r>
          </w:p>
        </w:tc>
      </w:tr>
      <w:tr w:rsidR="008A3C79" w14:paraId="0E1A8AF8" w14:textId="77777777" w:rsidTr="0053409A">
        <w:tc>
          <w:tcPr>
            <w:tcW w:w="5206" w:type="dxa"/>
            <w:vAlign w:val="center"/>
          </w:tcPr>
          <w:p w14:paraId="31B5F303" w14:textId="77777777" w:rsidR="008A3C79" w:rsidRDefault="008A3C79" w:rsidP="008A3C79">
            <w:pPr>
              <w:spacing w:before="60" w:after="60"/>
            </w:pPr>
            <w:r>
              <w:t>Denominación del título</w:t>
            </w:r>
          </w:p>
        </w:tc>
        <w:tc>
          <w:tcPr>
            <w:tcW w:w="3939" w:type="dxa"/>
            <w:gridSpan w:val="2"/>
            <w:vAlign w:val="center"/>
          </w:tcPr>
          <w:p w14:paraId="2C387CDA" w14:textId="77777777" w:rsidR="008A3C79" w:rsidRDefault="008A3C79" w:rsidP="008A3C79">
            <w:pPr>
              <w:spacing w:before="60" w:after="60"/>
            </w:pPr>
            <w:r w:rsidRPr="003852BE">
              <w:t>Máster Universitario en Agroalimentación por la Universidad de Cádiz y la Universidad de Córdoba</w:t>
            </w:r>
          </w:p>
        </w:tc>
      </w:tr>
      <w:tr w:rsidR="008A3C79" w14:paraId="4946B85A" w14:textId="77777777" w:rsidTr="0053409A">
        <w:tc>
          <w:tcPr>
            <w:tcW w:w="5206" w:type="dxa"/>
            <w:vAlign w:val="center"/>
          </w:tcPr>
          <w:p w14:paraId="2B52026B" w14:textId="77777777" w:rsidR="008A3C79" w:rsidRDefault="008A3C79" w:rsidP="008A3C79">
            <w:pPr>
              <w:spacing w:before="60" w:after="60"/>
            </w:pPr>
            <w:r>
              <w:t>Curso académico de implantación</w:t>
            </w:r>
          </w:p>
        </w:tc>
        <w:tc>
          <w:tcPr>
            <w:tcW w:w="3939" w:type="dxa"/>
            <w:gridSpan w:val="2"/>
            <w:vAlign w:val="center"/>
          </w:tcPr>
          <w:p w14:paraId="043390CD" w14:textId="77777777" w:rsidR="008A3C79" w:rsidRDefault="008A3C79" w:rsidP="008A3C79">
            <w:pPr>
              <w:spacing w:before="60" w:after="60"/>
            </w:pPr>
            <w:r w:rsidRPr="003852BE">
              <w:t>2015/16</w:t>
            </w:r>
          </w:p>
        </w:tc>
      </w:tr>
      <w:tr w:rsidR="008A3C79" w14:paraId="365EB59D" w14:textId="77777777" w:rsidTr="0053409A">
        <w:tc>
          <w:tcPr>
            <w:tcW w:w="5206" w:type="dxa"/>
            <w:tcBorders>
              <w:bottom w:val="single" w:sz="4" w:space="0" w:color="auto"/>
            </w:tcBorders>
            <w:vAlign w:val="center"/>
          </w:tcPr>
          <w:p w14:paraId="391B3128" w14:textId="77777777" w:rsidR="008A3C79" w:rsidRDefault="008A3C79" w:rsidP="008A3C79">
            <w:pPr>
              <w:spacing w:before="60" w:after="60"/>
            </w:pPr>
            <w:r>
              <w:t>Web de la titulación</w:t>
            </w:r>
          </w:p>
        </w:tc>
        <w:tc>
          <w:tcPr>
            <w:tcW w:w="3939" w:type="dxa"/>
            <w:gridSpan w:val="2"/>
            <w:vAlign w:val="center"/>
          </w:tcPr>
          <w:p w14:paraId="6339AAEA" w14:textId="4B3B384B" w:rsidR="008A3C79" w:rsidRDefault="004C696C" w:rsidP="008A3C79">
            <w:pPr>
              <w:spacing w:before="60" w:after="60"/>
            </w:pPr>
            <w:hyperlink r:id="rId9" w:history="1">
              <w:r w:rsidR="00FC4C3C" w:rsidRPr="005A4E8D">
                <w:rPr>
                  <w:rStyle w:val="Hipervnculo"/>
                </w:rPr>
                <w:t>https://tinyurl.com/yyshtshc</w:t>
              </w:r>
            </w:hyperlink>
            <w:r w:rsidR="00FC4C3C">
              <w:t xml:space="preserve"> </w:t>
            </w:r>
          </w:p>
        </w:tc>
      </w:tr>
      <w:tr w:rsidR="008A3C79" w14:paraId="024D2909" w14:textId="77777777" w:rsidTr="0053409A">
        <w:tc>
          <w:tcPr>
            <w:tcW w:w="5206" w:type="dxa"/>
            <w:vMerge w:val="restart"/>
            <w:tcBorders>
              <w:bottom w:val="nil"/>
            </w:tcBorders>
            <w:vAlign w:val="center"/>
          </w:tcPr>
          <w:p w14:paraId="6A6A235F" w14:textId="77777777" w:rsidR="008A3C79" w:rsidRDefault="008A3C79" w:rsidP="008A3C79">
            <w:pPr>
              <w:spacing w:before="60" w:after="60"/>
            </w:pPr>
            <w:r>
              <w:t>Oferta de título doble</w:t>
            </w:r>
          </w:p>
        </w:tc>
        <w:tc>
          <w:tcPr>
            <w:tcW w:w="770" w:type="dxa"/>
            <w:vAlign w:val="center"/>
          </w:tcPr>
          <w:p w14:paraId="04DBDD77" w14:textId="77777777" w:rsidR="008A3C79" w:rsidRPr="00953B23" w:rsidRDefault="008A3C79" w:rsidP="008A3C79">
            <w:pPr>
              <w:spacing w:before="60" w:after="60"/>
              <w:jc w:val="center"/>
              <w:rPr>
                <w:b/>
              </w:rPr>
            </w:pPr>
            <w:r w:rsidRPr="00953B23">
              <w:rPr>
                <w:b/>
              </w:rPr>
              <w:t>SÍ</w:t>
            </w:r>
          </w:p>
        </w:tc>
        <w:tc>
          <w:tcPr>
            <w:tcW w:w="3169" w:type="dxa"/>
            <w:vAlign w:val="center"/>
          </w:tcPr>
          <w:p w14:paraId="01CBCB91" w14:textId="77777777" w:rsidR="008A3C79" w:rsidRDefault="008A3C79" w:rsidP="008A3C79">
            <w:pPr>
              <w:spacing w:before="60" w:after="60"/>
              <w:jc w:val="center"/>
            </w:pPr>
          </w:p>
        </w:tc>
      </w:tr>
      <w:tr w:rsidR="008A3C79" w14:paraId="39DEA315" w14:textId="77777777" w:rsidTr="0053409A">
        <w:trPr>
          <w:trHeight w:val="198"/>
        </w:trPr>
        <w:tc>
          <w:tcPr>
            <w:tcW w:w="5206" w:type="dxa"/>
            <w:vMerge/>
            <w:tcBorders>
              <w:bottom w:val="nil"/>
            </w:tcBorders>
            <w:vAlign w:val="center"/>
          </w:tcPr>
          <w:p w14:paraId="652BE9F4" w14:textId="77777777" w:rsidR="008A3C79" w:rsidRDefault="008A3C79" w:rsidP="008A3C79">
            <w:pPr>
              <w:spacing w:before="60" w:after="60"/>
            </w:pPr>
          </w:p>
        </w:tc>
        <w:tc>
          <w:tcPr>
            <w:tcW w:w="770" w:type="dxa"/>
            <w:vAlign w:val="center"/>
          </w:tcPr>
          <w:p w14:paraId="60BB2281" w14:textId="77777777" w:rsidR="008A3C79" w:rsidRPr="00953B23" w:rsidRDefault="008A3C79" w:rsidP="008A3C79">
            <w:pPr>
              <w:spacing w:before="60" w:after="60"/>
              <w:jc w:val="center"/>
              <w:rPr>
                <w:b/>
              </w:rPr>
            </w:pPr>
            <w:r w:rsidRPr="00953B23">
              <w:rPr>
                <w:b/>
              </w:rPr>
              <w:t>NO</w:t>
            </w:r>
          </w:p>
        </w:tc>
        <w:tc>
          <w:tcPr>
            <w:tcW w:w="3169" w:type="dxa"/>
            <w:vAlign w:val="center"/>
          </w:tcPr>
          <w:p w14:paraId="0627A481" w14:textId="77777777" w:rsidR="008A3C79" w:rsidRDefault="008A3C79" w:rsidP="008A3C79">
            <w:pPr>
              <w:spacing w:before="60" w:after="60"/>
            </w:pPr>
            <w:r>
              <w:t>X</w:t>
            </w:r>
          </w:p>
        </w:tc>
      </w:tr>
      <w:tr w:rsidR="008A3C79" w14:paraId="7A33738C" w14:textId="77777777" w:rsidTr="0053409A">
        <w:tc>
          <w:tcPr>
            <w:tcW w:w="5206" w:type="dxa"/>
            <w:tcBorders>
              <w:top w:val="nil"/>
            </w:tcBorders>
            <w:vAlign w:val="center"/>
          </w:tcPr>
          <w:p w14:paraId="2D233BA4" w14:textId="77777777" w:rsidR="008A3C79" w:rsidRDefault="008A3C79" w:rsidP="008A3C79">
            <w:pPr>
              <w:spacing w:before="60" w:after="60"/>
            </w:pPr>
            <w:r>
              <w:t>En su caso, especificar la/las titulación/es y el/los centro/s</w:t>
            </w:r>
          </w:p>
        </w:tc>
        <w:tc>
          <w:tcPr>
            <w:tcW w:w="3939" w:type="dxa"/>
            <w:gridSpan w:val="2"/>
          </w:tcPr>
          <w:p w14:paraId="3BB3C258" w14:textId="2BE5717A" w:rsidR="008A3C79" w:rsidRDefault="00FC4C3C" w:rsidP="008A3C79">
            <w:pPr>
              <w:spacing w:before="60" w:after="60"/>
            </w:pPr>
            <w:r>
              <w:t>-</w:t>
            </w:r>
          </w:p>
        </w:tc>
      </w:tr>
      <w:tr w:rsidR="008A3C79" w14:paraId="04186A84" w14:textId="77777777" w:rsidTr="0053409A">
        <w:tc>
          <w:tcPr>
            <w:tcW w:w="5206" w:type="dxa"/>
            <w:vAlign w:val="center"/>
          </w:tcPr>
          <w:p w14:paraId="22E4A9F0" w14:textId="77777777" w:rsidR="008A3C79" w:rsidRDefault="008A3C79" w:rsidP="008A3C79">
            <w:pPr>
              <w:spacing w:before="60" w:after="60"/>
            </w:pPr>
            <w:r>
              <w:t>Modalidad de enseñanza (presencial, semipresencial-híbrida, virtual, a distancia)</w:t>
            </w:r>
          </w:p>
        </w:tc>
        <w:tc>
          <w:tcPr>
            <w:tcW w:w="3939" w:type="dxa"/>
            <w:gridSpan w:val="2"/>
            <w:vAlign w:val="center"/>
          </w:tcPr>
          <w:p w14:paraId="39581B34" w14:textId="77777777" w:rsidR="008A3C79" w:rsidRDefault="008A3C79" w:rsidP="008A3C79">
            <w:pPr>
              <w:spacing w:before="60" w:after="60"/>
            </w:pPr>
            <w:r>
              <w:t>Presencial</w:t>
            </w:r>
          </w:p>
        </w:tc>
      </w:tr>
      <w:tr w:rsidR="008A3C79" w14:paraId="16880D51" w14:textId="77777777" w:rsidTr="0053409A">
        <w:tc>
          <w:tcPr>
            <w:tcW w:w="5206" w:type="dxa"/>
            <w:vAlign w:val="center"/>
          </w:tcPr>
          <w:p w14:paraId="37BB0E83" w14:textId="77777777" w:rsidR="008A3C79" w:rsidRDefault="008A3C79" w:rsidP="008A3C79">
            <w:pPr>
              <w:spacing w:before="60" w:after="60"/>
            </w:pPr>
            <w:r>
              <w:t>Fecha de verificación</w:t>
            </w:r>
          </w:p>
        </w:tc>
        <w:tc>
          <w:tcPr>
            <w:tcW w:w="3939" w:type="dxa"/>
            <w:gridSpan w:val="2"/>
            <w:vAlign w:val="center"/>
          </w:tcPr>
          <w:p w14:paraId="1E289926" w14:textId="77777777" w:rsidR="008A3C79" w:rsidRDefault="008A3C79" w:rsidP="008A3C79">
            <w:pPr>
              <w:spacing w:before="60" w:after="60"/>
            </w:pPr>
            <w:r w:rsidRPr="008A03A5">
              <w:t>09/06/2015</w:t>
            </w:r>
          </w:p>
        </w:tc>
      </w:tr>
      <w:tr w:rsidR="008A3C79" w14:paraId="716CF295" w14:textId="77777777" w:rsidTr="0053409A">
        <w:tc>
          <w:tcPr>
            <w:tcW w:w="5206" w:type="dxa"/>
            <w:vAlign w:val="center"/>
          </w:tcPr>
          <w:p w14:paraId="7C738CFA" w14:textId="77777777" w:rsidR="008A3C79" w:rsidRDefault="008A3C79" w:rsidP="008A3C79">
            <w:pPr>
              <w:spacing w:before="60" w:after="60"/>
            </w:pPr>
            <w:r>
              <w:t>En su caso, fecha de la última modificación aprobada</w:t>
            </w:r>
          </w:p>
        </w:tc>
        <w:tc>
          <w:tcPr>
            <w:tcW w:w="3939" w:type="dxa"/>
            <w:gridSpan w:val="2"/>
            <w:vAlign w:val="center"/>
          </w:tcPr>
          <w:p w14:paraId="77F447A1" w14:textId="77777777" w:rsidR="008A3C79" w:rsidRDefault="008A3C79" w:rsidP="008A3C79">
            <w:pPr>
              <w:spacing w:before="60" w:after="60"/>
            </w:pPr>
            <w:r w:rsidRPr="008A03A5">
              <w:t>22/05/2017</w:t>
            </w:r>
          </w:p>
        </w:tc>
      </w:tr>
      <w:tr w:rsidR="008A3C79" w14:paraId="52093A8C" w14:textId="77777777" w:rsidTr="0053409A">
        <w:tc>
          <w:tcPr>
            <w:tcW w:w="5206" w:type="dxa"/>
            <w:vAlign w:val="center"/>
          </w:tcPr>
          <w:p w14:paraId="7BA32B25" w14:textId="77777777" w:rsidR="008A3C79" w:rsidRDefault="008A3C79" w:rsidP="008A3C79">
            <w:pPr>
              <w:spacing w:before="60" w:after="60"/>
            </w:pPr>
            <w:r>
              <w:t>En su caso, fecha de la última renovación de la acreditación</w:t>
            </w:r>
          </w:p>
        </w:tc>
        <w:tc>
          <w:tcPr>
            <w:tcW w:w="3939" w:type="dxa"/>
            <w:gridSpan w:val="2"/>
            <w:vAlign w:val="center"/>
          </w:tcPr>
          <w:p w14:paraId="3DBB35BC" w14:textId="77777777" w:rsidR="008A3C79" w:rsidRDefault="008A3C79" w:rsidP="008A3C79">
            <w:pPr>
              <w:spacing w:before="60" w:after="60"/>
            </w:pPr>
            <w:r w:rsidRPr="003852BE">
              <w:t>26/06/2019</w:t>
            </w:r>
          </w:p>
        </w:tc>
      </w:tr>
      <w:tr w:rsidR="008A3C79" w14:paraId="39D92148" w14:textId="77777777" w:rsidTr="0053409A">
        <w:tc>
          <w:tcPr>
            <w:tcW w:w="5206" w:type="dxa"/>
            <w:vMerge w:val="restart"/>
            <w:vAlign w:val="center"/>
          </w:tcPr>
          <w:p w14:paraId="4717F11D" w14:textId="77777777" w:rsidR="008A3C79" w:rsidRDefault="008A3C79" w:rsidP="008A3C79">
            <w:pPr>
              <w:spacing w:before="60" w:after="60"/>
            </w:pPr>
            <w:r>
              <w:t>Sistema de Garantía de Calidad</w:t>
            </w:r>
          </w:p>
        </w:tc>
        <w:tc>
          <w:tcPr>
            <w:tcW w:w="770" w:type="dxa"/>
            <w:vAlign w:val="center"/>
          </w:tcPr>
          <w:p w14:paraId="7C89C0B8" w14:textId="77777777" w:rsidR="008A3C79" w:rsidRDefault="008A3C79" w:rsidP="008A3C79">
            <w:pPr>
              <w:spacing w:before="60" w:after="60"/>
            </w:pPr>
            <w:r>
              <w:t>Centro</w:t>
            </w:r>
          </w:p>
        </w:tc>
        <w:tc>
          <w:tcPr>
            <w:tcW w:w="3169" w:type="dxa"/>
            <w:vAlign w:val="center"/>
          </w:tcPr>
          <w:p w14:paraId="4BB35538" w14:textId="77777777" w:rsidR="008A3C79" w:rsidRDefault="008A3C79" w:rsidP="008A3C79">
            <w:pPr>
              <w:spacing w:before="60" w:after="60"/>
            </w:pPr>
            <w:r>
              <w:t>X</w:t>
            </w:r>
          </w:p>
        </w:tc>
      </w:tr>
      <w:tr w:rsidR="008A3C79" w14:paraId="551A3B66" w14:textId="77777777" w:rsidTr="0053409A">
        <w:tc>
          <w:tcPr>
            <w:tcW w:w="5206" w:type="dxa"/>
            <w:vMerge/>
            <w:vAlign w:val="center"/>
          </w:tcPr>
          <w:p w14:paraId="59DE9C20" w14:textId="77777777" w:rsidR="008A3C79" w:rsidRDefault="008A3C79" w:rsidP="008A3C79">
            <w:pPr>
              <w:spacing w:before="60" w:after="60"/>
            </w:pPr>
          </w:p>
        </w:tc>
        <w:tc>
          <w:tcPr>
            <w:tcW w:w="770" w:type="dxa"/>
            <w:vAlign w:val="center"/>
          </w:tcPr>
          <w:p w14:paraId="4C1850B7" w14:textId="77777777" w:rsidR="008A3C79" w:rsidRDefault="008A3C79" w:rsidP="008A3C79">
            <w:pPr>
              <w:spacing w:before="60" w:after="60"/>
            </w:pPr>
            <w:r>
              <w:t>Título</w:t>
            </w:r>
          </w:p>
        </w:tc>
        <w:tc>
          <w:tcPr>
            <w:tcW w:w="3169" w:type="dxa"/>
            <w:vAlign w:val="center"/>
          </w:tcPr>
          <w:p w14:paraId="5BDD5532" w14:textId="77777777" w:rsidR="008A3C79" w:rsidRDefault="008A3C79" w:rsidP="008A3C79">
            <w:pPr>
              <w:spacing w:before="60" w:after="60"/>
            </w:pPr>
          </w:p>
        </w:tc>
      </w:tr>
    </w:tbl>
    <w:p w14:paraId="6A65A8E5" w14:textId="77777777" w:rsidR="00953B23" w:rsidRDefault="00953B23" w:rsidP="00D56437">
      <w:pPr>
        <w:spacing w:after="0"/>
        <w:rPr>
          <w:sz w:val="20"/>
          <w:szCs w:val="20"/>
        </w:rPr>
      </w:pPr>
    </w:p>
    <w:p w14:paraId="0D96D033" w14:textId="77777777" w:rsidR="00C5411A" w:rsidRPr="0004511F" w:rsidRDefault="00C5411A" w:rsidP="00C5411A">
      <w:pPr>
        <w:pStyle w:val="NormalWeb"/>
        <w:rPr>
          <w:rFonts w:asciiTheme="minorHAnsi" w:hAnsiTheme="minorHAnsi" w:cstheme="minorHAnsi"/>
          <w:sz w:val="20"/>
          <w:szCs w:val="20"/>
        </w:rPr>
      </w:pPr>
      <w:r w:rsidRPr="0004511F">
        <w:rPr>
          <w:rStyle w:val="Textoennegrita"/>
          <w:rFonts w:asciiTheme="minorHAnsi" w:eastAsia="Calibri" w:hAnsiTheme="minorHAnsi" w:cstheme="minorHAnsi"/>
          <w:sz w:val="22"/>
          <w:szCs w:val="22"/>
        </w:rPr>
        <w:t>APLICACIONES PARA LA GESTIÓN DOCUMENTAL Y SISTEMAS DE INFORMACIÓN.</w:t>
      </w:r>
      <w:r w:rsidRPr="0004511F">
        <w:rPr>
          <w:rFonts w:asciiTheme="minorHAnsi" w:hAnsiTheme="minorHAnsi" w:cstheme="minorHAnsi"/>
          <w:sz w:val="22"/>
          <w:szCs w:val="22"/>
        </w:rPr>
        <w:br/>
      </w:r>
      <w:r w:rsidRPr="0004511F">
        <w:rPr>
          <w:rFonts w:asciiTheme="minorHAnsi" w:hAnsiTheme="minorHAnsi" w:cstheme="minorHAnsi"/>
          <w:sz w:val="20"/>
          <w:szCs w:val="20"/>
        </w:rPr>
        <w:t>Relación de aplicaciones y herramientas:</w:t>
      </w:r>
    </w:p>
    <w:tbl>
      <w:tblPr>
        <w:tblStyle w:val="Tablaconcuadrcula"/>
        <w:tblW w:w="0" w:type="auto"/>
        <w:tblLook w:val="04A0" w:firstRow="1" w:lastRow="0" w:firstColumn="1" w:lastColumn="0" w:noHBand="0" w:noVBand="1"/>
      </w:tblPr>
      <w:tblGrid>
        <w:gridCol w:w="2206"/>
        <w:gridCol w:w="3318"/>
        <w:gridCol w:w="2074"/>
        <w:gridCol w:w="1547"/>
      </w:tblGrid>
      <w:tr w:rsidR="00C5411A" w:rsidRPr="0004511F" w14:paraId="37C5C8ED" w14:textId="77777777" w:rsidTr="00E33583">
        <w:tc>
          <w:tcPr>
            <w:tcW w:w="2206" w:type="dxa"/>
            <w:vAlign w:val="center"/>
          </w:tcPr>
          <w:p w14:paraId="6DBDD9EA" w14:textId="77777777" w:rsidR="00C5411A" w:rsidRPr="0004511F" w:rsidRDefault="00C5411A" w:rsidP="00E33583">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APLICACIÓN O HERRAMIENTA</w:t>
            </w:r>
          </w:p>
        </w:tc>
        <w:tc>
          <w:tcPr>
            <w:tcW w:w="3318" w:type="dxa"/>
            <w:vAlign w:val="center"/>
          </w:tcPr>
          <w:p w14:paraId="275DD85A" w14:textId="77777777" w:rsidR="00C5411A" w:rsidRPr="0004511F" w:rsidRDefault="00C5411A" w:rsidP="00E33583">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URL</w:t>
            </w:r>
          </w:p>
        </w:tc>
        <w:tc>
          <w:tcPr>
            <w:tcW w:w="2074" w:type="dxa"/>
            <w:vAlign w:val="center"/>
          </w:tcPr>
          <w:p w14:paraId="5641AF5D" w14:textId="77777777" w:rsidR="00C5411A" w:rsidRPr="0004511F" w:rsidRDefault="00C5411A" w:rsidP="00E33583">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USUARIO</w:t>
            </w:r>
          </w:p>
        </w:tc>
        <w:tc>
          <w:tcPr>
            <w:tcW w:w="1547" w:type="dxa"/>
            <w:vAlign w:val="center"/>
          </w:tcPr>
          <w:p w14:paraId="30F1653E" w14:textId="77777777" w:rsidR="00C5411A" w:rsidRPr="0004511F" w:rsidRDefault="00C5411A" w:rsidP="00E33583">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CLAVE</w:t>
            </w:r>
          </w:p>
        </w:tc>
      </w:tr>
      <w:tr w:rsidR="00C5411A" w:rsidRPr="0004511F" w14:paraId="4A3F7A61" w14:textId="77777777" w:rsidTr="00E33583">
        <w:tc>
          <w:tcPr>
            <w:tcW w:w="2206" w:type="dxa"/>
            <w:vAlign w:val="center"/>
          </w:tcPr>
          <w:p w14:paraId="015CD4B1" w14:textId="77777777" w:rsidR="00C5411A" w:rsidRPr="00031A1B" w:rsidRDefault="00C5411A" w:rsidP="00E33583">
            <w:pPr>
              <w:pStyle w:val="NormalWeb"/>
              <w:jc w:val="center"/>
              <w:rPr>
                <w:rFonts w:asciiTheme="minorHAnsi" w:hAnsiTheme="minorHAnsi" w:cstheme="minorHAnsi"/>
                <w:sz w:val="20"/>
                <w:szCs w:val="20"/>
              </w:rPr>
            </w:pPr>
            <w:r w:rsidRPr="00031A1B">
              <w:rPr>
                <w:rFonts w:asciiTheme="minorHAnsi" w:hAnsiTheme="minorHAnsi" w:cstheme="minorHAnsi"/>
                <w:sz w:val="20"/>
                <w:szCs w:val="20"/>
              </w:rPr>
              <w:t>SISTEMA DE INFORMACIÓN</w:t>
            </w:r>
          </w:p>
        </w:tc>
        <w:tc>
          <w:tcPr>
            <w:tcW w:w="3318" w:type="dxa"/>
            <w:vAlign w:val="center"/>
          </w:tcPr>
          <w:p w14:paraId="61583FDF" w14:textId="77777777" w:rsidR="00C5411A" w:rsidRPr="00031A1B" w:rsidRDefault="004C696C" w:rsidP="00E33583">
            <w:pPr>
              <w:pStyle w:val="NormalWeb"/>
              <w:jc w:val="center"/>
              <w:rPr>
                <w:rFonts w:asciiTheme="minorHAnsi" w:hAnsiTheme="minorHAnsi" w:cstheme="minorHAnsi"/>
                <w:sz w:val="20"/>
                <w:szCs w:val="20"/>
              </w:rPr>
            </w:pPr>
            <w:hyperlink r:id="rId10" w:history="1">
              <w:r w:rsidR="00C5411A" w:rsidRPr="00031A1B">
                <w:rPr>
                  <w:rStyle w:val="Hipervnculo"/>
                  <w:rFonts w:asciiTheme="minorHAnsi" w:hAnsiTheme="minorHAnsi" w:cstheme="minorHAnsi"/>
                  <w:sz w:val="20"/>
                  <w:szCs w:val="20"/>
                </w:rPr>
                <w:t>https://sistemadeinformacion.uca.es</w:t>
              </w:r>
            </w:hyperlink>
            <w:r w:rsidR="00C5411A" w:rsidRPr="00031A1B">
              <w:rPr>
                <w:rFonts w:asciiTheme="minorHAnsi" w:hAnsiTheme="minorHAnsi" w:cstheme="minorHAnsi"/>
                <w:sz w:val="20"/>
                <w:szCs w:val="20"/>
              </w:rPr>
              <w:t xml:space="preserve"> </w:t>
            </w:r>
          </w:p>
        </w:tc>
        <w:tc>
          <w:tcPr>
            <w:tcW w:w="2074" w:type="dxa"/>
            <w:vAlign w:val="center"/>
          </w:tcPr>
          <w:p w14:paraId="11974959" w14:textId="77777777" w:rsidR="00C5411A" w:rsidRPr="00031A1B" w:rsidRDefault="00C5411A" w:rsidP="00E33583">
            <w:pPr>
              <w:pStyle w:val="NormalWeb"/>
              <w:jc w:val="center"/>
              <w:rPr>
                <w:rFonts w:asciiTheme="minorHAnsi" w:hAnsiTheme="minorHAnsi" w:cstheme="minorHAnsi"/>
                <w:color w:val="000000"/>
                <w:sz w:val="20"/>
                <w:szCs w:val="20"/>
              </w:rPr>
            </w:pPr>
            <w:r w:rsidRPr="00031A1B">
              <w:rPr>
                <w:rFonts w:asciiTheme="minorHAnsi" w:hAnsiTheme="minorHAnsi" w:cstheme="minorHAnsi"/>
                <w:color w:val="000000"/>
                <w:sz w:val="20"/>
                <w:szCs w:val="20"/>
              </w:rPr>
              <w:t>acredita</w:t>
            </w:r>
          </w:p>
        </w:tc>
        <w:tc>
          <w:tcPr>
            <w:tcW w:w="1547" w:type="dxa"/>
            <w:vAlign w:val="center"/>
          </w:tcPr>
          <w:p w14:paraId="73E59985" w14:textId="77777777" w:rsidR="00C5411A" w:rsidRPr="00031A1B" w:rsidRDefault="00C5411A" w:rsidP="00E33583">
            <w:pPr>
              <w:pStyle w:val="NormalWeb"/>
              <w:jc w:val="center"/>
              <w:rPr>
                <w:rFonts w:asciiTheme="minorHAnsi" w:hAnsiTheme="minorHAnsi" w:cstheme="minorHAnsi"/>
                <w:color w:val="000000"/>
                <w:sz w:val="20"/>
                <w:szCs w:val="20"/>
              </w:rPr>
            </w:pPr>
            <w:r w:rsidRPr="00031A1B">
              <w:rPr>
                <w:rFonts w:asciiTheme="minorHAnsi" w:hAnsiTheme="minorHAnsi" w:cstheme="minorHAnsi"/>
                <w:color w:val="000000"/>
                <w:sz w:val="20"/>
                <w:szCs w:val="20"/>
              </w:rPr>
              <w:t>acredita592</w:t>
            </w:r>
          </w:p>
        </w:tc>
      </w:tr>
    </w:tbl>
    <w:p w14:paraId="1C3C484E" w14:textId="77777777" w:rsidR="00C5411A" w:rsidRDefault="00C5411A"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86419B" w14:paraId="34672B53" w14:textId="77777777" w:rsidTr="00DC7729">
        <w:trPr>
          <w:jc w:val="center"/>
        </w:trPr>
        <w:tc>
          <w:tcPr>
            <w:tcW w:w="5000" w:type="pct"/>
            <w:shd w:val="clear" w:color="auto" w:fill="D9D9D9"/>
          </w:tcPr>
          <w:p w14:paraId="6D96271B" w14:textId="77777777" w:rsidR="00D56437" w:rsidRPr="000C41E0" w:rsidRDefault="00D734BC" w:rsidP="00B416FA">
            <w:pPr>
              <w:pStyle w:val="Prrafodelista"/>
              <w:numPr>
                <w:ilvl w:val="0"/>
                <w:numId w:val="3"/>
              </w:numPr>
              <w:spacing w:before="60" w:after="60" w:line="240" w:lineRule="auto"/>
              <w:ind w:left="300" w:hanging="357"/>
              <w:contextualSpacing w:val="0"/>
              <w:rPr>
                <w:b/>
                <w:i/>
              </w:rPr>
            </w:pPr>
            <w:r w:rsidRPr="000C41E0">
              <w:rPr>
                <w:b/>
                <w:i/>
              </w:rPr>
              <w:t>INFORMACIÓN PÚBLICA DISPONIBLE (IPD): WEB</w:t>
            </w:r>
          </w:p>
        </w:tc>
      </w:tr>
    </w:tbl>
    <w:p w14:paraId="74F5D402" w14:textId="77777777" w:rsidR="00310BA4" w:rsidRPr="0086419B" w:rsidRDefault="00310BA4" w:rsidP="00922F3C">
      <w:pPr>
        <w:pStyle w:val="Default"/>
        <w:jc w:val="both"/>
        <w:rPr>
          <w:rFonts w:asciiTheme="minorHAnsi" w:hAnsiTheme="minorHAnsi"/>
          <w:i/>
          <w:color w:val="auto"/>
          <w:sz w:val="16"/>
        </w:rPr>
      </w:pPr>
    </w:p>
    <w:p w14:paraId="15D34E29" w14:textId="77777777" w:rsidR="00310BA4" w:rsidRDefault="00310BA4" w:rsidP="00922F3C">
      <w:pPr>
        <w:pStyle w:val="Default"/>
        <w:jc w:val="both"/>
        <w:rPr>
          <w:rFonts w:asciiTheme="minorHAnsi" w:hAnsiTheme="minorHAnsi"/>
          <w:i/>
          <w:color w:val="auto"/>
          <w:sz w:val="14"/>
        </w:rPr>
      </w:pPr>
    </w:p>
    <w:p w14:paraId="666A3111" w14:textId="77777777" w:rsidR="00AF401F" w:rsidRPr="00BD7414" w:rsidRDefault="00AF401F" w:rsidP="00AF401F">
      <w:pPr>
        <w:spacing w:after="0" w:line="240" w:lineRule="auto"/>
        <w:jc w:val="both"/>
        <w:rPr>
          <w:rFonts w:asciiTheme="minorHAnsi" w:hAnsiTheme="minorHAnsi"/>
          <w:color w:val="FFFFFF"/>
        </w:rPr>
      </w:pPr>
      <w:r w:rsidRPr="00C71BAF">
        <w:rPr>
          <w:rFonts w:asciiTheme="minorHAnsi" w:hAnsiTheme="minorHAnsi"/>
          <w:b/>
          <w:i/>
        </w:rPr>
        <w:t>Análisis y Valoración:</w:t>
      </w:r>
    </w:p>
    <w:p w14:paraId="12E93F88" w14:textId="77777777" w:rsidR="001D1BEF" w:rsidRPr="00A946E3" w:rsidRDefault="001D1BEF" w:rsidP="001D1BEF">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285"/>
        <w:gridCol w:w="573"/>
        <w:gridCol w:w="573"/>
        <w:gridCol w:w="573"/>
        <w:gridCol w:w="573"/>
        <w:gridCol w:w="573"/>
      </w:tblGrid>
      <w:tr w:rsidR="00A946E3" w:rsidRPr="00A946E3" w14:paraId="7E5B76D5" w14:textId="77777777" w:rsidTr="00790F73">
        <w:trPr>
          <w:trHeight w:val="288"/>
        </w:trPr>
        <w:tc>
          <w:tcPr>
            <w:tcW w:w="3435" w:type="pct"/>
            <w:tcBorders>
              <w:top w:val="single" w:sz="4" w:space="0" w:color="000000"/>
              <w:left w:val="nil"/>
              <w:bottom w:val="single" w:sz="4" w:space="0" w:color="000000"/>
              <w:right w:val="single" w:sz="4" w:space="0" w:color="000000"/>
            </w:tcBorders>
            <w:shd w:val="clear" w:color="000000" w:fill="244061"/>
            <w:vAlign w:val="center"/>
            <w:hideMark/>
          </w:tcPr>
          <w:p w14:paraId="1936FC88" w14:textId="77777777" w:rsidR="00A946E3" w:rsidRPr="00A946E3" w:rsidRDefault="00A946E3"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D82A2C1"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47AAAC8A"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79AA0FA8"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0C27A4F5"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7F00778"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8A3C79" w:rsidRPr="00A946E3" w14:paraId="5C66926D" w14:textId="77777777" w:rsidTr="00790F73">
        <w:trPr>
          <w:trHeight w:val="288"/>
        </w:trPr>
        <w:tc>
          <w:tcPr>
            <w:tcW w:w="3435" w:type="pct"/>
            <w:tcBorders>
              <w:top w:val="nil"/>
              <w:left w:val="nil"/>
              <w:bottom w:val="single" w:sz="4" w:space="0" w:color="000000"/>
              <w:right w:val="single" w:sz="4" w:space="0" w:color="000000"/>
            </w:tcBorders>
            <w:shd w:val="clear" w:color="000000" w:fill="CCCCCC"/>
            <w:vAlign w:val="center"/>
            <w:hideMark/>
          </w:tcPr>
          <w:p w14:paraId="15EACD55" w14:textId="77777777" w:rsidR="008A3C79" w:rsidRPr="00A946E3" w:rsidRDefault="008A3C79" w:rsidP="008A3C79">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6BD3E468"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p>
        </w:tc>
        <w:tc>
          <w:tcPr>
            <w:tcW w:w="313" w:type="pct"/>
            <w:tcBorders>
              <w:top w:val="nil"/>
              <w:left w:val="nil"/>
              <w:bottom w:val="single" w:sz="4" w:space="0" w:color="000000"/>
              <w:right w:val="single" w:sz="4" w:space="0" w:color="000000"/>
            </w:tcBorders>
            <w:shd w:val="clear" w:color="auto" w:fill="auto"/>
            <w:vAlign w:val="center"/>
            <w:hideMark/>
          </w:tcPr>
          <w:p w14:paraId="3AEE6244"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4,08</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663CA78A"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3,25</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3FF434FF"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16A1E8A4"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3,79</w:t>
            </w:r>
            <w:r w:rsidRPr="00A946E3">
              <w:rPr>
                <w:rFonts w:asciiTheme="minorHAnsi" w:eastAsia="Times New Roman" w:hAnsiTheme="minorHAnsi"/>
                <w:color w:val="000000"/>
                <w:sz w:val="16"/>
                <w:szCs w:val="16"/>
                <w:lang w:eastAsia="es-ES"/>
              </w:rPr>
              <w:t> </w:t>
            </w:r>
          </w:p>
        </w:tc>
      </w:tr>
      <w:tr w:rsidR="008A3C79" w:rsidRPr="00A946E3" w14:paraId="0E8CF14D" w14:textId="77777777" w:rsidTr="00790F73">
        <w:trPr>
          <w:trHeight w:val="288"/>
        </w:trPr>
        <w:tc>
          <w:tcPr>
            <w:tcW w:w="3435" w:type="pct"/>
            <w:tcBorders>
              <w:top w:val="nil"/>
              <w:left w:val="nil"/>
              <w:bottom w:val="single" w:sz="4" w:space="0" w:color="000000"/>
              <w:right w:val="single" w:sz="4" w:space="0" w:color="000000"/>
            </w:tcBorders>
            <w:shd w:val="clear" w:color="000000" w:fill="CCCCCC"/>
            <w:vAlign w:val="center"/>
            <w:hideMark/>
          </w:tcPr>
          <w:p w14:paraId="660C37F0" w14:textId="77777777" w:rsidR="008A3C79" w:rsidRPr="00A946E3" w:rsidRDefault="008A3C79" w:rsidP="008A3C79">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7DCAD1F1"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68E50FFF"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4,27</w:t>
            </w:r>
          </w:p>
        </w:tc>
        <w:tc>
          <w:tcPr>
            <w:tcW w:w="313" w:type="pct"/>
            <w:tcBorders>
              <w:top w:val="nil"/>
              <w:left w:val="nil"/>
              <w:bottom w:val="single" w:sz="4" w:space="0" w:color="000000"/>
              <w:right w:val="single" w:sz="4" w:space="0" w:color="000000"/>
            </w:tcBorders>
            <w:shd w:val="clear" w:color="auto" w:fill="auto"/>
            <w:vAlign w:val="center"/>
            <w:hideMark/>
          </w:tcPr>
          <w:p w14:paraId="36A396CF"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4,5</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3CDD4FA0"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313" w:type="pct"/>
            <w:tcBorders>
              <w:top w:val="nil"/>
              <w:left w:val="nil"/>
              <w:bottom w:val="single" w:sz="4" w:space="0" w:color="000000"/>
              <w:right w:val="single" w:sz="4" w:space="0" w:color="000000"/>
            </w:tcBorders>
            <w:shd w:val="clear" w:color="auto" w:fill="auto"/>
            <w:vAlign w:val="center"/>
            <w:hideMark/>
          </w:tcPr>
          <w:p w14:paraId="11449175"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4,33</w:t>
            </w:r>
            <w:r w:rsidRPr="00A946E3">
              <w:rPr>
                <w:rFonts w:asciiTheme="minorHAnsi" w:eastAsia="Times New Roman" w:hAnsiTheme="minorHAnsi"/>
                <w:color w:val="000000"/>
                <w:sz w:val="16"/>
                <w:szCs w:val="16"/>
                <w:lang w:eastAsia="es-ES"/>
              </w:rPr>
              <w:t> </w:t>
            </w:r>
          </w:p>
        </w:tc>
      </w:tr>
      <w:tr w:rsidR="008A3C79" w:rsidRPr="00A946E3" w14:paraId="203D8D3E" w14:textId="77777777" w:rsidTr="00790F73">
        <w:trPr>
          <w:trHeight w:val="288"/>
        </w:trPr>
        <w:tc>
          <w:tcPr>
            <w:tcW w:w="3435" w:type="pct"/>
            <w:tcBorders>
              <w:top w:val="nil"/>
              <w:left w:val="nil"/>
              <w:bottom w:val="single" w:sz="4" w:space="0" w:color="000000"/>
              <w:right w:val="single" w:sz="4" w:space="0" w:color="000000"/>
            </w:tcBorders>
            <w:shd w:val="clear" w:color="000000" w:fill="CCCCCC"/>
            <w:vAlign w:val="center"/>
            <w:hideMark/>
          </w:tcPr>
          <w:p w14:paraId="5011C880" w14:textId="77777777" w:rsidR="008A3C79" w:rsidRPr="00A946E3" w:rsidRDefault="008A3C79" w:rsidP="008A3C79">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313" w:type="pct"/>
            <w:tcBorders>
              <w:top w:val="nil"/>
              <w:left w:val="nil"/>
              <w:bottom w:val="single" w:sz="4" w:space="0" w:color="000000"/>
              <w:right w:val="single" w:sz="4" w:space="0" w:color="000000"/>
            </w:tcBorders>
            <w:shd w:val="clear" w:color="auto" w:fill="auto"/>
            <w:vAlign w:val="center"/>
            <w:hideMark/>
          </w:tcPr>
          <w:p w14:paraId="5545B2D0"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3,49</w:t>
            </w:r>
          </w:p>
        </w:tc>
        <w:tc>
          <w:tcPr>
            <w:tcW w:w="313" w:type="pct"/>
            <w:tcBorders>
              <w:top w:val="nil"/>
              <w:left w:val="nil"/>
              <w:bottom w:val="single" w:sz="4" w:space="0" w:color="000000"/>
              <w:right w:val="single" w:sz="4" w:space="0" w:color="000000"/>
            </w:tcBorders>
            <w:shd w:val="clear" w:color="auto" w:fill="auto"/>
            <w:vAlign w:val="center"/>
            <w:hideMark/>
          </w:tcPr>
          <w:p w14:paraId="6DE9A702"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3,57</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37B8E293"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3,67</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4AD8FC24"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014DC9A6" w14:textId="1FC3E663" w:rsidR="008A3C79" w:rsidRPr="00A946E3" w:rsidRDefault="00DA682A"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3.77</w:t>
            </w:r>
          </w:p>
        </w:tc>
      </w:tr>
    </w:tbl>
    <w:p w14:paraId="7460563E" w14:textId="77777777" w:rsidR="00C60916" w:rsidRDefault="00C60916" w:rsidP="001D1BEF">
      <w:pPr>
        <w:spacing w:after="120" w:line="240" w:lineRule="auto"/>
        <w:jc w:val="both"/>
        <w:rPr>
          <w:rFonts w:asciiTheme="minorHAnsi" w:hAnsiTheme="minorHAnsi"/>
          <w:bCs/>
          <w:sz w:val="20"/>
          <w:szCs w:val="20"/>
        </w:rPr>
      </w:pPr>
    </w:p>
    <w:tbl>
      <w:tblPr>
        <w:tblW w:w="5000" w:type="pct"/>
        <w:tblCellMar>
          <w:left w:w="70" w:type="dxa"/>
          <w:right w:w="70" w:type="dxa"/>
        </w:tblCellMar>
        <w:tblLook w:val="04A0" w:firstRow="1" w:lastRow="0" w:firstColumn="1" w:lastColumn="0" w:noHBand="0" w:noVBand="1"/>
      </w:tblPr>
      <w:tblGrid>
        <w:gridCol w:w="6285"/>
        <w:gridCol w:w="573"/>
        <w:gridCol w:w="573"/>
        <w:gridCol w:w="573"/>
        <w:gridCol w:w="573"/>
        <w:gridCol w:w="573"/>
      </w:tblGrid>
      <w:tr w:rsidR="00A946E3" w:rsidRPr="00A946E3" w14:paraId="14E0F969" w14:textId="77777777" w:rsidTr="008A3C79">
        <w:trPr>
          <w:trHeight w:val="900"/>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2ED9823F" w14:textId="77777777" w:rsidR="00A946E3" w:rsidRPr="00A946E3" w:rsidRDefault="00A946E3"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966748A"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1A91C12E"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4ACBC87"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1C9776F"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38F7C8D9"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8A3C79" w:rsidRPr="00A946E3" w14:paraId="00F04E13" w14:textId="77777777" w:rsidTr="008A3C79">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5CCFD0D" w14:textId="77777777" w:rsidR="008A3C79" w:rsidRPr="00A946E3" w:rsidRDefault="008A3C79" w:rsidP="008A3C79">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lastRenderedPageBreak/>
              <w:t xml:space="preserve">ISGC-P01-01: Grado de satisfacción del alumnado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74148F45"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3,07</w:t>
            </w:r>
          </w:p>
        </w:tc>
        <w:tc>
          <w:tcPr>
            <w:tcW w:w="313" w:type="pct"/>
            <w:tcBorders>
              <w:top w:val="nil"/>
              <w:left w:val="nil"/>
              <w:bottom w:val="single" w:sz="4" w:space="0" w:color="000000"/>
              <w:right w:val="single" w:sz="4" w:space="0" w:color="000000"/>
            </w:tcBorders>
            <w:shd w:val="clear" w:color="auto" w:fill="auto"/>
            <w:vAlign w:val="center"/>
            <w:hideMark/>
          </w:tcPr>
          <w:p w14:paraId="53C94912"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3,77</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6C050CE1"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3,19</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18CC0FAC"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6781FDBE"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3,64</w:t>
            </w:r>
            <w:r w:rsidRPr="00A946E3">
              <w:rPr>
                <w:rFonts w:asciiTheme="minorHAnsi" w:eastAsia="Times New Roman" w:hAnsiTheme="minorHAnsi"/>
                <w:color w:val="000000"/>
                <w:sz w:val="16"/>
                <w:szCs w:val="16"/>
                <w:lang w:eastAsia="es-ES"/>
              </w:rPr>
              <w:t> </w:t>
            </w:r>
          </w:p>
        </w:tc>
      </w:tr>
      <w:tr w:rsidR="008A3C79" w:rsidRPr="00A946E3" w14:paraId="65D31BC9" w14:textId="77777777" w:rsidTr="008A3C79">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DEFDF89" w14:textId="77777777" w:rsidR="008A3C79" w:rsidRPr="00A946E3" w:rsidRDefault="008A3C79" w:rsidP="008A3C79">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165F39D4"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w:t>
            </w:r>
          </w:p>
        </w:tc>
        <w:tc>
          <w:tcPr>
            <w:tcW w:w="313" w:type="pct"/>
            <w:tcBorders>
              <w:top w:val="nil"/>
              <w:left w:val="nil"/>
              <w:bottom w:val="single" w:sz="4" w:space="0" w:color="000000"/>
              <w:right w:val="single" w:sz="4" w:space="0" w:color="000000"/>
            </w:tcBorders>
            <w:shd w:val="clear" w:color="auto" w:fill="auto"/>
            <w:vAlign w:val="center"/>
            <w:hideMark/>
          </w:tcPr>
          <w:p w14:paraId="5E3A3BB0"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4,12</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7B10C3EF"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4,35</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4D39AD0C"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313" w:type="pct"/>
            <w:tcBorders>
              <w:top w:val="nil"/>
              <w:left w:val="nil"/>
              <w:bottom w:val="single" w:sz="4" w:space="0" w:color="000000"/>
              <w:right w:val="single" w:sz="4" w:space="0" w:color="000000"/>
            </w:tcBorders>
            <w:shd w:val="clear" w:color="auto" w:fill="auto"/>
            <w:vAlign w:val="center"/>
            <w:hideMark/>
          </w:tcPr>
          <w:p w14:paraId="38B07DB3"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4,24</w:t>
            </w:r>
          </w:p>
        </w:tc>
      </w:tr>
      <w:tr w:rsidR="008A3C79" w:rsidRPr="00A946E3" w14:paraId="7ED6D78A" w14:textId="77777777" w:rsidTr="008A3C79">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6EDDCD1A" w14:textId="77777777" w:rsidR="008A3C79" w:rsidRPr="00A946E3" w:rsidRDefault="008A3C79" w:rsidP="008A3C79">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313" w:type="pct"/>
            <w:tcBorders>
              <w:top w:val="nil"/>
              <w:left w:val="nil"/>
              <w:bottom w:val="single" w:sz="4" w:space="0" w:color="000000"/>
              <w:right w:val="single" w:sz="4" w:space="0" w:color="000000"/>
            </w:tcBorders>
            <w:shd w:val="clear" w:color="auto" w:fill="auto"/>
            <w:vAlign w:val="center"/>
            <w:hideMark/>
          </w:tcPr>
          <w:p w14:paraId="4E124B8A"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3,49</w:t>
            </w:r>
            <w:r w:rsidRPr="00A946E3">
              <w:rPr>
                <w:rFonts w:asciiTheme="minorHAnsi" w:eastAsia="Times New Roman" w:hAnsiTheme="minorHAnsi"/>
                <w:color w:val="000000"/>
                <w:sz w:val="16"/>
                <w:szCs w:val="16"/>
                <w:lang w:eastAsia="es-ES"/>
              </w:rPr>
              <w:t> </w:t>
            </w:r>
          </w:p>
        </w:tc>
        <w:tc>
          <w:tcPr>
            <w:tcW w:w="313" w:type="pct"/>
            <w:tcBorders>
              <w:top w:val="nil"/>
              <w:left w:val="nil"/>
              <w:bottom w:val="single" w:sz="4" w:space="0" w:color="000000"/>
              <w:right w:val="single" w:sz="4" w:space="0" w:color="000000"/>
            </w:tcBorders>
            <w:shd w:val="clear" w:color="auto" w:fill="auto"/>
            <w:vAlign w:val="center"/>
            <w:hideMark/>
          </w:tcPr>
          <w:p w14:paraId="2EE8D8F5"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3,56</w:t>
            </w:r>
          </w:p>
        </w:tc>
        <w:tc>
          <w:tcPr>
            <w:tcW w:w="313" w:type="pct"/>
            <w:tcBorders>
              <w:top w:val="nil"/>
              <w:left w:val="nil"/>
              <w:bottom w:val="single" w:sz="4" w:space="0" w:color="000000"/>
              <w:right w:val="single" w:sz="4" w:space="0" w:color="000000"/>
            </w:tcBorders>
            <w:shd w:val="clear" w:color="auto" w:fill="auto"/>
            <w:vAlign w:val="center"/>
            <w:hideMark/>
          </w:tcPr>
          <w:p w14:paraId="35D7F117"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3,67</w:t>
            </w:r>
          </w:p>
        </w:tc>
        <w:tc>
          <w:tcPr>
            <w:tcW w:w="313" w:type="pct"/>
            <w:tcBorders>
              <w:top w:val="nil"/>
              <w:left w:val="nil"/>
              <w:bottom w:val="single" w:sz="4" w:space="0" w:color="000000"/>
              <w:right w:val="single" w:sz="4" w:space="0" w:color="000000"/>
            </w:tcBorders>
            <w:shd w:val="clear" w:color="auto" w:fill="auto"/>
            <w:vAlign w:val="center"/>
            <w:hideMark/>
          </w:tcPr>
          <w:p w14:paraId="3848E123"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sidRPr="00A946E3">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w:t>
            </w:r>
          </w:p>
        </w:tc>
        <w:tc>
          <w:tcPr>
            <w:tcW w:w="313" w:type="pct"/>
            <w:tcBorders>
              <w:top w:val="nil"/>
              <w:left w:val="nil"/>
              <w:bottom w:val="single" w:sz="4" w:space="0" w:color="000000"/>
              <w:right w:val="single" w:sz="4" w:space="0" w:color="000000"/>
            </w:tcBorders>
            <w:shd w:val="clear" w:color="auto" w:fill="auto"/>
            <w:vAlign w:val="center"/>
            <w:hideMark/>
          </w:tcPr>
          <w:p w14:paraId="5EF1D720" w14:textId="77777777" w:rsidR="008A3C79" w:rsidRPr="00A946E3"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3,77</w:t>
            </w:r>
            <w:r w:rsidRPr="00A946E3">
              <w:rPr>
                <w:rFonts w:asciiTheme="minorHAnsi" w:eastAsia="Times New Roman" w:hAnsiTheme="minorHAnsi"/>
                <w:color w:val="000000"/>
                <w:sz w:val="16"/>
                <w:szCs w:val="16"/>
                <w:lang w:eastAsia="es-ES"/>
              </w:rPr>
              <w:t> </w:t>
            </w:r>
          </w:p>
        </w:tc>
      </w:tr>
    </w:tbl>
    <w:p w14:paraId="1317BF13" w14:textId="77777777" w:rsidR="001D093C" w:rsidRDefault="001D093C" w:rsidP="00E42574">
      <w:pPr>
        <w:spacing w:after="0"/>
        <w:jc w:val="both"/>
        <w:rPr>
          <w:color w:val="4F81BD" w:themeColor="accent1"/>
          <w:sz w:val="16"/>
          <w:szCs w:val="16"/>
        </w:rPr>
      </w:pPr>
    </w:p>
    <w:p w14:paraId="1109EBC9" w14:textId="77777777" w:rsidR="00C60916" w:rsidRDefault="00C60916" w:rsidP="001D1BEF">
      <w:pPr>
        <w:spacing w:after="120" w:line="240" w:lineRule="auto"/>
        <w:jc w:val="both"/>
        <w:rPr>
          <w:rFonts w:asciiTheme="minorHAnsi" w:hAnsiTheme="minorHAnsi"/>
          <w:bCs/>
          <w:sz w:val="20"/>
          <w:szCs w:val="20"/>
        </w:rPr>
      </w:pPr>
    </w:p>
    <w:p w14:paraId="2906A6C3" w14:textId="77777777" w:rsidR="00AA0170" w:rsidRDefault="001D1BEF" w:rsidP="00AE14B1">
      <w:pPr>
        <w:spacing w:line="240" w:lineRule="auto"/>
        <w:jc w:val="both"/>
        <w:rPr>
          <w:rFonts w:asciiTheme="minorHAnsi" w:hAnsiTheme="minorHAnsi"/>
          <w:sz w:val="20"/>
          <w:szCs w:val="20"/>
          <w:shd w:val="clear" w:color="auto" w:fill="FFFFFF"/>
        </w:rPr>
      </w:pPr>
      <w:r w:rsidRPr="00AA0170">
        <w:rPr>
          <w:rFonts w:asciiTheme="minorHAnsi" w:hAnsiTheme="minorHAnsi"/>
          <w:sz w:val="20"/>
          <w:szCs w:val="20"/>
          <w:shd w:val="clear" w:color="auto" w:fill="FFFFFF"/>
        </w:rPr>
        <w:t>Para garantizar que la información del título</w:t>
      </w:r>
      <w:r w:rsidR="00E70D53" w:rsidRPr="00AA0170">
        <w:rPr>
          <w:rFonts w:asciiTheme="minorHAnsi" w:hAnsiTheme="minorHAnsi"/>
          <w:sz w:val="20"/>
          <w:szCs w:val="20"/>
          <w:shd w:val="clear" w:color="auto" w:fill="FFFFFF"/>
        </w:rPr>
        <w:t xml:space="preserve"> y Centro, </w:t>
      </w:r>
      <w:r w:rsidRPr="00AA0170">
        <w:rPr>
          <w:rFonts w:asciiTheme="minorHAnsi" w:hAnsiTheme="minorHAnsi"/>
          <w:sz w:val="20"/>
          <w:szCs w:val="20"/>
          <w:shd w:val="clear" w:color="auto" w:fill="FFFFFF"/>
        </w:rPr>
        <w:t xml:space="preserve"> se encuentra accesible y actualizada, anualmente se revisa en el seno de la Comisión de Garantía de Calidad, conforme al procedimiento</w:t>
      </w:r>
      <w:r w:rsidRPr="00AA0170">
        <w:rPr>
          <w:rStyle w:val="apple-converted-space"/>
          <w:rFonts w:asciiTheme="minorHAnsi" w:hAnsiTheme="minorHAnsi"/>
          <w:sz w:val="20"/>
          <w:szCs w:val="20"/>
          <w:shd w:val="clear" w:color="auto" w:fill="FFFFFF"/>
        </w:rPr>
        <w:t xml:space="preserve"> </w:t>
      </w:r>
      <w:r w:rsidRPr="00AA0170">
        <w:rPr>
          <w:rFonts w:asciiTheme="minorHAnsi" w:hAnsiTheme="minorHAnsi"/>
          <w:iCs/>
          <w:sz w:val="20"/>
          <w:szCs w:val="20"/>
          <w:shd w:val="clear" w:color="auto" w:fill="FFFFFF"/>
        </w:rPr>
        <w:t>P01 - Difusión de la Información (</w:t>
      </w:r>
      <w:hyperlink r:id="rId11" w:history="1">
        <w:r w:rsidRPr="00AA0170">
          <w:rPr>
            <w:rStyle w:val="Hipervnculo"/>
            <w:rFonts w:asciiTheme="minorHAnsi" w:hAnsiTheme="minorHAnsi"/>
            <w:iCs/>
            <w:sz w:val="20"/>
            <w:szCs w:val="20"/>
            <w:shd w:val="clear" w:color="auto" w:fill="FFFFFF"/>
          </w:rPr>
          <w:t>https://bit.ly/3FCWV19</w:t>
        </w:r>
      </w:hyperlink>
      <w:r w:rsidRPr="00AA0170">
        <w:rPr>
          <w:rFonts w:asciiTheme="minorHAnsi" w:hAnsiTheme="minorHAnsi"/>
          <w:iCs/>
          <w:sz w:val="20"/>
          <w:szCs w:val="20"/>
          <w:shd w:val="clear" w:color="auto" w:fill="FFFFFF"/>
        </w:rPr>
        <w:t xml:space="preserve">), </w:t>
      </w:r>
      <w:r w:rsidRPr="00AA0170">
        <w:rPr>
          <w:rStyle w:val="apple-converted-space"/>
          <w:rFonts w:asciiTheme="minorHAnsi" w:hAnsiTheme="minorHAnsi"/>
          <w:sz w:val="20"/>
          <w:szCs w:val="20"/>
          <w:shd w:val="clear" w:color="auto" w:fill="FFFFFF"/>
        </w:rPr>
        <w:t xml:space="preserve"> </w:t>
      </w:r>
      <w:r w:rsidRPr="00AA0170">
        <w:rPr>
          <w:rFonts w:asciiTheme="minorHAnsi" w:hAnsiTheme="minorHAnsi"/>
          <w:sz w:val="20"/>
          <w:szCs w:val="20"/>
          <w:shd w:val="clear" w:color="auto" w:fill="FFFFFF"/>
        </w:rPr>
        <w:t>teniendo en cuenta las necesidad</w:t>
      </w:r>
      <w:r w:rsidR="00E70D53" w:rsidRPr="00AA0170">
        <w:rPr>
          <w:rFonts w:asciiTheme="minorHAnsi" w:hAnsiTheme="minorHAnsi"/>
          <w:sz w:val="20"/>
          <w:szCs w:val="20"/>
          <w:shd w:val="clear" w:color="auto" w:fill="FFFFFF"/>
        </w:rPr>
        <w:t xml:space="preserve">es detectadas, en su caso, en los </w:t>
      </w:r>
      <w:r w:rsidRPr="00AA0170">
        <w:rPr>
          <w:rFonts w:asciiTheme="minorHAnsi" w:hAnsiTheme="minorHAnsi"/>
          <w:sz w:val="20"/>
          <w:szCs w:val="20"/>
          <w:shd w:val="clear" w:color="auto" w:fill="FFFFFF"/>
        </w:rPr>
        <w:t xml:space="preserve"> Informe</w:t>
      </w:r>
      <w:r w:rsidR="00E70D53" w:rsidRPr="00AA0170">
        <w:rPr>
          <w:rFonts w:asciiTheme="minorHAnsi" w:hAnsiTheme="minorHAnsi"/>
          <w:sz w:val="20"/>
          <w:szCs w:val="20"/>
          <w:shd w:val="clear" w:color="auto" w:fill="FFFFFF"/>
        </w:rPr>
        <w:t>s</w:t>
      </w:r>
      <w:r w:rsidRPr="00AA0170">
        <w:rPr>
          <w:rFonts w:asciiTheme="minorHAnsi" w:hAnsiTheme="minorHAnsi"/>
          <w:sz w:val="20"/>
          <w:szCs w:val="20"/>
          <w:shd w:val="clear" w:color="auto" w:fill="FFFFFF"/>
        </w:rPr>
        <w:t xml:space="preserve"> de  la DEVA y el informe resultante de la auditoría interna realizada por la Inspección General de Servicio sobre la IPD.</w:t>
      </w:r>
    </w:p>
    <w:p w14:paraId="7F38622D" w14:textId="77777777" w:rsidR="001D1BEF" w:rsidRPr="00AA0170" w:rsidRDefault="001D1BEF" w:rsidP="00AE14B1">
      <w:pPr>
        <w:spacing w:line="240" w:lineRule="auto"/>
        <w:jc w:val="both"/>
        <w:rPr>
          <w:rFonts w:asciiTheme="minorHAnsi" w:hAnsiTheme="minorHAnsi"/>
          <w:sz w:val="20"/>
          <w:szCs w:val="20"/>
          <w:shd w:val="clear" w:color="auto" w:fill="FFFFFF"/>
        </w:rPr>
      </w:pPr>
      <w:r w:rsidRPr="00AA0170">
        <w:rPr>
          <w:rFonts w:asciiTheme="minorHAnsi" w:hAnsiTheme="minorHAnsi"/>
          <w:bCs/>
          <w:sz w:val="20"/>
          <w:szCs w:val="20"/>
        </w:rPr>
        <w:t>La información pública del máster</w:t>
      </w:r>
      <w:r w:rsidRPr="00AA0170">
        <w:rPr>
          <w:rFonts w:asciiTheme="minorHAnsi" w:hAnsiTheme="minorHAnsi"/>
          <w:bCs/>
          <w:color w:val="FF0000"/>
          <w:sz w:val="20"/>
          <w:szCs w:val="20"/>
        </w:rPr>
        <w:t xml:space="preserve"> </w:t>
      </w:r>
      <w:r w:rsidRPr="00AA0170">
        <w:rPr>
          <w:rFonts w:asciiTheme="minorHAnsi" w:hAnsiTheme="minorHAnsi"/>
          <w:bCs/>
          <w:sz w:val="20"/>
          <w:szCs w:val="20"/>
        </w:rPr>
        <w:t xml:space="preserve">se elabora de acuerdo con el protocolo específico de evaluación de la información pública disponible detallado en el Anexo II de la Guía para el Seguimiento de los Títulos </w:t>
      </w:r>
      <w:r w:rsidR="00C60916" w:rsidRPr="00AA0170">
        <w:rPr>
          <w:rFonts w:asciiTheme="minorHAnsi" w:hAnsiTheme="minorHAnsi"/>
          <w:bCs/>
          <w:sz w:val="20"/>
          <w:szCs w:val="20"/>
        </w:rPr>
        <w:t xml:space="preserve">Universitarios </w:t>
      </w:r>
      <w:r w:rsidRPr="00AA0170">
        <w:rPr>
          <w:rFonts w:asciiTheme="minorHAnsi" w:hAnsiTheme="minorHAnsi"/>
          <w:bCs/>
          <w:sz w:val="20"/>
          <w:szCs w:val="20"/>
        </w:rPr>
        <w:t>Oficia</w:t>
      </w:r>
      <w:r w:rsidR="00C60916" w:rsidRPr="00AA0170">
        <w:rPr>
          <w:rFonts w:asciiTheme="minorHAnsi" w:hAnsiTheme="minorHAnsi"/>
          <w:bCs/>
          <w:sz w:val="20"/>
          <w:szCs w:val="20"/>
        </w:rPr>
        <w:t>les de Grado y Máster (versión 05</w:t>
      </w:r>
      <w:r w:rsidRPr="00AA0170">
        <w:rPr>
          <w:rFonts w:asciiTheme="minorHAnsi" w:hAnsiTheme="minorHAnsi"/>
          <w:bCs/>
          <w:sz w:val="20"/>
          <w:szCs w:val="20"/>
        </w:rPr>
        <w:t xml:space="preserve">, </w:t>
      </w:r>
      <w:r w:rsidR="00C60916" w:rsidRPr="00AA0170">
        <w:rPr>
          <w:rFonts w:asciiTheme="minorHAnsi" w:hAnsiTheme="minorHAnsi"/>
          <w:bCs/>
          <w:sz w:val="20"/>
          <w:szCs w:val="20"/>
        </w:rPr>
        <w:t>de junio de 2021).</w:t>
      </w:r>
    </w:p>
    <w:p w14:paraId="311B424C" w14:textId="4CA689F5" w:rsidR="00790F73" w:rsidRPr="00790F73" w:rsidRDefault="00790F73" w:rsidP="00AC4C47">
      <w:pPr>
        <w:spacing w:after="120" w:line="240" w:lineRule="auto"/>
        <w:jc w:val="both"/>
        <w:rPr>
          <w:rFonts w:asciiTheme="minorHAnsi" w:hAnsiTheme="minorHAnsi"/>
          <w:bCs/>
          <w:sz w:val="20"/>
          <w:szCs w:val="20"/>
        </w:rPr>
      </w:pPr>
      <w:r w:rsidRPr="00790F73">
        <w:rPr>
          <w:rFonts w:asciiTheme="minorHAnsi" w:hAnsiTheme="minorHAnsi"/>
          <w:bCs/>
          <w:sz w:val="20"/>
          <w:szCs w:val="20"/>
        </w:rPr>
        <w:t>En julio de 2019</w:t>
      </w:r>
      <w:r w:rsidR="00EC7A35">
        <w:rPr>
          <w:rFonts w:asciiTheme="minorHAnsi" w:hAnsiTheme="minorHAnsi"/>
          <w:bCs/>
          <w:sz w:val="20"/>
          <w:szCs w:val="20"/>
        </w:rPr>
        <w:t>,</w:t>
      </w:r>
      <w:r w:rsidRPr="00790F73">
        <w:rPr>
          <w:rFonts w:asciiTheme="minorHAnsi" w:hAnsiTheme="minorHAnsi"/>
          <w:bCs/>
          <w:sz w:val="20"/>
          <w:szCs w:val="20"/>
        </w:rPr>
        <w:t xml:space="preserve"> se recibió el informe favorable para la renovación de la acreditación del Máster Universitario en Agroalimentación por la Universidad de Cádiz (UCA) y la Universidad de Córdoba (UCO). Dicho informe recoge como conclusiones que “la Comisión ha podido comprobar y valorar que, en líneas generales, </w:t>
      </w:r>
      <w:r w:rsidR="00EC7A35">
        <w:rPr>
          <w:rFonts w:asciiTheme="minorHAnsi" w:hAnsiTheme="minorHAnsi"/>
          <w:bCs/>
          <w:sz w:val="20"/>
          <w:szCs w:val="20"/>
        </w:rPr>
        <w:t xml:space="preserve">dicho </w:t>
      </w:r>
      <w:r w:rsidRPr="00790F73">
        <w:rPr>
          <w:rFonts w:asciiTheme="minorHAnsi" w:hAnsiTheme="minorHAnsi"/>
          <w:bCs/>
          <w:sz w:val="20"/>
          <w:szCs w:val="20"/>
        </w:rPr>
        <w:t>Máster Universitario en Agroalimentación por la Universidad de Cádiz y la Universidad de Córdoba se desarrolla siguiendo las pautas establecidas en la Memoria de Verificación y las recomendaciones emanadas de los informes de la DEVA. Las evidencias a las que se ha tenido acceso muestran que el título ha seguido un proceso de revisión continua que ha redundado en la mejora de su programa formativo. Las audiencias realizadas con los grupos de interés refuerzan esta valoración general. Las recomendaciones incluidas en este informe pretenden contribuir a la revisión y optimización permanente del Título”. En cuanto a la información pública disponible (IPD) muestra toda la información pública necesaria para los grupos de interés, pero se considera una recomendación.</w:t>
      </w:r>
    </w:p>
    <w:p w14:paraId="7DCB3173" w14:textId="77777777" w:rsidR="00790F73" w:rsidRPr="00790F73" w:rsidRDefault="00790F73" w:rsidP="00AC4C47">
      <w:pPr>
        <w:spacing w:after="120" w:line="240" w:lineRule="auto"/>
        <w:jc w:val="both"/>
        <w:rPr>
          <w:rFonts w:asciiTheme="minorHAnsi" w:hAnsiTheme="minorHAnsi"/>
          <w:bCs/>
          <w:sz w:val="20"/>
          <w:szCs w:val="20"/>
        </w:rPr>
      </w:pPr>
      <w:r w:rsidRPr="00790F73">
        <w:rPr>
          <w:rFonts w:asciiTheme="minorHAnsi" w:hAnsiTheme="minorHAnsi"/>
          <w:bCs/>
          <w:sz w:val="20"/>
          <w:szCs w:val="20"/>
        </w:rPr>
        <w:t>La información pública del máster se articula a través de la página web de cada una de las universidades participantes. En la UCA se articula a través de una página específica y concreta (</w:t>
      </w:r>
      <w:hyperlink r:id="rId12" w:history="1">
        <w:r w:rsidR="00EC7A35" w:rsidRPr="007F159B">
          <w:rPr>
            <w:rStyle w:val="Hipervnculo"/>
          </w:rPr>
          <w:t>https://tinyurl.com/yyshtshc</w:t>
        </w:r>
      </w:hyperlink>
      <w:r w:rsidRPr="00790F73">
        <w:rPr>
          <w:rFonts w:asciiTheme="minorHAnsi" w:hAnsiTheme="minorHAnsi"/>
          <w:bCs/>
          <w:sz w:val="20"/>
          <w:szCs w:val="20"/>
        </w:rPr>
        <w:t xml:space="preserve">) que se encuentra dentro de la información de la página web de la Facultad de Ciencias, </w:t>
      </w:r>
      <w:r w:rsidR="00EC7A35">
        <w:rPr>
          <w:rFonts w:asciiTheme="minorHAnsi" w:hAnsiTheme="minorHAnsi"/>
          <w:bCs/>
          <w:sz w:val="20"/>
          <w:szCs w:val="20"/>
        </w:rPr>
        <w:t>C</w:t>
      </w:r>
      <w:r w:rsidRPr="00790F73">
        <w:rPr>
          <w:rFonts w:asciiTheme="minorHAnsi" w:hAnsiTheme="minorHAnsi"/>
          <w:bCs/>
          <w:sz w:val="20"/>
          <w:szCs w:val="20"/>
        </w:rPr>
        <w:t>entro en el que se imparte dicha titulación. Dicha página tiene una estructura clara y bien organizada, de fácil acceso que recoge toda la información relacionada con los aspectos docentes y formativos del Título, relevante para el alumnado y todas aquellas personas interesadas en cursar dicha titulación. Por otra parte, la información relativa al curs</w:t>
      </w:r>
      <w:r w:rsidR="00EC7A35">
        <w:rPr>
          <w:rFonts w:asciiTheme="minorHAnsi" w:hAnsiTheme="minorHAnsi"/>
          <w:bCs/>
          <w:sz w:val="20"/>
          <w:szCs w:val="20"/>
        </w:rPr>
        <w:t>o académico, como horarios y TFM</w:t>
      </w:r>
      <w:r w:rsidRPr="00790F73">
        <w:rPr>
          <w:rFonts w:asciiTheme="minorHAnsi" w:hAnsiTheme="minorHAnsi"/>
          <w:bCs/>
          <w:sz w:val="20"/>
          <w:szCs w:val="20"/>
        </w:rPr>
        <w:t xml:space="preserve"> (como la oferta de trabajos, asignación de tutores, comisiones de evaluación, etc.) se actualizan continuamente. </w:t>
      </w:r>
      <w:r w:rsidR="00EC7A35">
        <w:rPr>
          <w:rFonts w:asciiTheme="minorHAnsi" w:hAnsiTheme="minorHAnsi"/>
          <w:bCs/>
          <w:sz w:val="20"/>
          <w:szCs w:val="20"/>
        </w:rPr>
        <w:t>Los horarios son actualizados</w:t>
      </w:r>
      <w:r w:rsidRPr="00790F73">
        <w:rPr>
          <w:rFonts w:asciiTheme="minorHAnsi" w:hAnsiTheme="minorHAnsi"/>
          <w:bCs/>
          <w:sz w:val="20"/>
          <w:szCs w:val="20"/>
        </w:rPr>
        <w:t xml:space="preserve">, a través de una aplicación creada por el Centro que permite realizar los cambios necesarios, tanto por el Vicedecano de Ordenación Académica y Planificación como por la Coordinadora del Máster, en momentos puntuales a lo largo del curso (cambio de aulas, </w:t>
      </w:r>
      <w:r w:rsidR="00EC7A35">
        <w:rPr>
          <w:rFonts w:asciiTheme="minorHAnsi" w:hAnsiTheme="minorHAnsi"/>
          <w:bCs/>
          <w:sz w:val="20"/>
          <w:szCs w:val="20"/>
        </w:rPr>
        <w:t>recuperación de docencia</w:t>
      </w:r>
      <w:r w:rsidRPr="00790F73">
        <w:rPr>
          <w:rFonts w:asciiTheme="minorHAnsi" w:hAnsiTheme="minorHAnsi"/>
          <w:bCs/>
          <w:sz w:val="20"/>
          <w:szCs w:val="20"/>
        </w:rPr>
        <w:t>, etc.). En el caso del UCO la información igualmente se articula a través de una página específica y concreta (</w:t>
      </w:r>
      <w:hyperlink r:id="rId13" w:history="1">
        <w:r w:rsidRPr="00EC7A35">
          <w:rPr>
            <w:rStyle w:val="Hipervnculo"/>
            <w:rFonts w:asciiTheme="minorHAnsi" w:hAnsiTheme="minorHAnsi"/>
            <w:bCs/>
            <w:sz w:val="20"/>
            <w:szCs w:val="20"/>
          </w:rPr>
          <w:t>https://tinyurl.com/y6rhzspb</w:t>
        </w:r>
      </w:hyperlink>
      <w:r w:rsidRPr="00790F73">
        <w:rPr>
          <w:rFonts w:asciiTheme="minorHAnsi" w:hAnsiTheme="minorHAnsi"/>
          <w:bCs/>
          <w:sz w:val="20"/>
          <w:szCs w:val="20"/>
        </w:rPr>
        <w:t>). Los coordinadores del título en cada una de las universidades participantes revisan la información para que no se produzcan inconsistencias en la información y resuelven las dudas que reciben a través de los correos institucionales (master.agroalimentacion@uca.es y master.agroalimentacion@uco.es).</w:t>
      </w:r>
    </w:p>
    <w:p w14:paraId="773512CB" w14:textId="4AB0FACD" w:rsidR="00790F73" w:rsidRPr="00790F73" w:rsidRDefault="00790F73" w:rsidP="00AC4C47">
      <w:pPr>
        <w:spacing w:after="120" w:line="240" w:lineRule="auto"/>
        <w:jc w:val="both"/>
        <w:rPr>
          <w:rFonts w:asciiTheme="minorHAnsi" w:hAnsiTheme="minorHAnsi"/>
          <w:bCs/>
          <w:sz w:val="20"/>
          <w:szCs w:val="20"/>
        </w:rPr>
      </w:pPr>
      <w:r w:rsidRPr="00790F73">
        <w:rPr>
          <w:rFonts w:asciiTheme="minorHAnsi" w:hAnsiTheme="minorHAnsi"/>
          <w:bCs/>
          <w:sz w:val="20"/>
          <w:szCs w:val="20"/>
        </w:rPr>
        <w:t xml:space="preserve">El alumnado </w:t>
      </w:r>
      <w:r w:rsidR="00B73628">
        <w:rPr>
          <w:rFonts w:asciiTheme="minorHAnsi" w:hAnsiTheme="minorHAnsi"/>
          <w:bCs/>
          <w:sz w:val="20"/>
          <w:szCs w:val="20"/>
        </w:rPr>
        <w:t xml:space="preserve">y el PDI </w:t>
      </w:r>
      <w:r w:rsidRPr="00790F73">
        <w:rPr>
          <w:rFonts w:asciiTheme="minorHAnsi" w:hAnsiTheme="minorHAnsi"/>
          <w:bCs/>
          <w:sz w:val="20"/>
          <w:szCs w:val="20"/>
        </w:rPr>
        <w:t>se encuentra</w:t>
      </w:r>
      <w:r w:rsidR="00AA0170">
        <w:rPr>
          <w:rFonts w:asciiTheme="minorHAnsi" w:hAnsiTheme="minorHAnsi"/>
          <w:bCs/>
          <w:sz w:val="20"/>
          <w:szCs w:val="20"/>
        </w:rPr>
        <w:t>n</w:t>
      </w:r>
      <w:r w:rsidRPr="00790F73">
        <w:rPr>
          <w:rFonts w:asciiTheme="minorHAnsi" w:hAnsiTheme="minorHAnsi"/>
          <w:bCs/>
          <w:sz w:val="20"/>
          <w:szCs w:val="20"/>
        </w:rPr>
        <w:t xml:space="preserve"> satisfecho</w:t>
      </w:r>
      <w:r w:rsidR="00AA0170">
        <w:rPr>
          <w:rFonts w:asciiTheme="minorHAnsi" w:hAnsiTheme="minorHAnsi"/>
          <w:bCs/>
          <w:sz w:val="20"/>
          <w:szCs w:val="20"/>
        </w:rPr>
        <w:t>s</w:t>
      </w:r>
      <w:r w:rsidRPr="00790F73">
        <w:rPr>
          <w:rFonts w:asciiTheme="minorHAnsi" w:hAnsiTheme="minorHAnsi"/>
          <w:bCs/>
          <w:sz w:val="20"/>
          <w:szCs w:val="20"/>
        </w:rPr>
        <w:t xml:space="preserve"> con la información suministrada a través de la web del máster como se refleja en las encuestas de satisfacción</w:t>
      </w:r>
      <w:r w:rsidR="00486E2E">
        <w:rPr>
          <w:rFonts w:asciiTheme="minorHAnsi" w:hAnsiTheme="minorHAnsi"/>
          <w:bCs/>
          <w:sz w:val="20"/>
          <w:szCs w:val="20"/>
        </w:rPr>
        <w:t>, llegando a ser superior a la del Centro</w:t>
      </w:r>
      <w:r w:rsidRPr="00790F73">
        <w:rPr>
          <w:rFonts w:asciiTheme="minorHAnsi" w:hAnsiTheme="minorHAnsi"/>
          <w:bCs/>
          <w:sz w:val="20"/>
          <w:szCs w:val="20"/>
        </w:rPr>
        <w:t>. Para el curso 2019-20 no se dispone de datos debido a que la fecha prevista en el sistema para lanzar la encuesta de satisfacción con el título a los diferentes grupos de interés son los meses de abril y mayo. En base a la Adenda al SGC de la UCA se decidió no pasar estas encuestas debido al momento difícil que estábamos pasando todos los colectivos de la comunidad universitaria. Sin embargo, a propuesta de la DEVA se diseñaron encuestas para recabar la opinión de los siguientes colectivos: PAS, PDI y estudiantes (en Grado y Máster) sobre las actuaciones y cambios producidos por la pandemia y el consecuente Estado de Alarma (</w:t>
      </w:r>
      <w:hyperlink r:id="rId14" w:history="1">
        <w:r w:rsidR="00293385" w:rsidRPr="00293385">
          <w:rPr>
            <w:rStyle w:val="Hipervnculo"/>
          </w:rPr>
          <w:t>https://sistemadeinformacion.uca.es/pentaho/api/repos/%3APublico%3ACalidad%3AEncTitulo%3Aencue_RSGC_P08_01_B.prpt/viewer</w:t>
        </w:r>
      </w:hyperlink>
      <w:r w:rsidRPr="00790F73">
        <w:rPr>
          <w:rFonts w:asciiTheme="minorHAnsi" w:hAnsiTheme="minorHAnsi"/>
          <w:bCs/>
          <w:sz w:val="20"/>
          <w:szCs w:val="20"/>
        </w:rPr>
        <w:t xml:space="preserve">). </w:t>
      </w:r>
    </w:p>
    <w:p w14:paraId="4A1EE610" w14:textId="77777777" w:rsidR="00790F73" w:rsidRPr="00790F73" w:rsidRDefault="00790F73" w:rsidP="00AC4C47">
      <w:pPr>
        <w:spacing w:after="120" w:line="240" w:lineRule="auto"/>
        <w:jc w:val="both"/>
        <w:rPr>
          <w:rFonts w:asciiTheme="minorHAnsi" w:hAnsiTheme="minorHAnsi"/>
          <w:bCs/>
          <w:sz w:val="20"/>
          <w:szCs w:val="20"/>
        </w:rPr>
      </w:pPr>
      <w:r w:rsidRPr="00790F73">
        <w:rPr>
          <w:rFonts w:asciiTheme="minorHAnsi" w:hAnsiTheme="minorHAnsi"/>
          <w:bCs/>
          <w:sz w:val="20"/>
          <w:szCs w:val="20"/>
        </w:rPr>
        <w:t>Además de su página web, la Universidad de Cádiz elabora trípticos con información de cada una de sus titulaciones y su itinerario curricular como herramientas de difusión durante las Jornadas de Orientación Universitaria organizadas por la Dirección General de Acceso y Orientación.</w:t>
      </w:r>
    </w:p>
    <w:p w14:paraId="1E6CD872" w14:textId="77777777" w:rsidR="00AA0170" w:rsidRDefault="00AA0170" w:rsidP="00AE14B1">
      <w:pPr>
        <w:spacing w:line="240" w:lineRule="auto"/>
        <w:jc w:val="both"/>
        <w:rPr>
          <w:rFonts w:asciiTheme="minorHAnsi" w:hAnsiTheme="minorHAnsi"/>
          <w:bCs/>
          <w:i/>
          <w:sz w:val="20"/>
          <w:szCs w:val="20"/>
        </w:rPr>
      </w:pPr>
    </w:p>
    <w:p w14:paraId="50B83EB7" w14:textId="77777777" w:rsidR="00635338" w:rsidRPr="0070175D" w:rsidRDefault="00635338" w:rsidP="00C60916">
      <w:pPr>
        <w:jc w:val="both"/>
        <w:rPr>
          <w:rFonts w:asciiTheme="minorHAnsi" w:hAnsiTheme="minorHAnsi"/>
          <w:bCs/>
          <w:i/>
          <w:sz w:val="20"/>
          <w:szCs w:val="20"/>
        </w:rPr>
      </w:pPr>
      <w:r w:rsidRPr="0070175D">
        <w:rPr>
          <w:rFonts w:asciiTheme="minorHAnsi" w:hAnsiTheme="minorHAnsi"/>
          <w:bCs/>
          <w:i/>
          <w:sz w:val="20"/>
          <w:szCs w:val="20"/>
        </w:rPr>
        <w:lastRenderedPageBreak/>
        <w:t>Apartado COVID:</w:t>
      </w:r>
    </w:p>
    <w:p w14:paraId="474AE040" w14:textId="77777777" w:rsidR="00C60916" w:rsidRPr="0070175D" w:rsidRDefault="00C60916" w:rsidP="00AE14B1">
      <w:pPr>
        <w:spacing w:after="0" w:line="240" w:lineRule="auto"/>
        <w:jc w:val="both"/>
        <w:rPr>
          <w:rFonts w:asciiTheme="minorHAnsi" w:hAnsiTheme="minorHAnsi"/>
          <w:i/>
          <w:sz w:val="20"/>
          <w:szCs w:val="20"/>
          <w:shd w:val="clear" w:color="auto" w:fill="FFFFFF"/>
        </w:rPr>
      </w:pPr>
      <w:r w:rsidRPr="0070175D">
        <w:rPr>
          <w:rFonts w:asciiTheme="minorHAnsi" w:hAnsiTheme="minorHAnsi"/>
          <w:bCs/>
          <w:i/>
          <w:sz w:val="20"/>
          <w:szCs w:val="20"/>
        </w:rPr>
        <w:t xml:space="preserve">Por otro lado, </w:t>
      </w:r>
      <w:r w:rsidRPr="0070175D">
        <w:rPr>
          <w:rFonts w:asciiTheme="minorHAnsi" w:hAnsiTheme="minorHAnsi"/>
          <w:i/>
          <w:sz w:val="20"/>
          <w:szCs w:val="20"/>
          <w:shd w:val="clear" w:color="auto" w:fill="FFFFFF"/>
        </w:rPr>
        <w:t xml:space="preserve">Desde la Declaración del Estado de Alarma el 14 de marzo de 2020, la Universidad ha informado puntualmente de todas aquellas normativas, acuerdos, procedimientos, protocolos o instrucciones adoptadas con motivo de la pandemia y la consecuente transformación de la docencia presencial a virtual. Para ello se habilitó un enlace específico para la transmisión y difusión de esta información: </w:t>
      </w:r>
      <w:hyperlink r:id="rId15" w:history="1">
        <w:r w:rsidRPr="0070175D">
          <w:rPr>
            <w:rStyle w:val="Hipervnculo"/>
            <w:rFonts w:asciiTheme="minorHAnsi" w:hAnsiTheme="minorHAnsi"/>
            <w:i/>
            <w:sz w:val="20"/>
            <w:szCs w:val="20"/>
            <w:shd w:val="clear" w:color="auto" w:fill="FFFFFF"/>
          </w:rPr>
          <w:t>https://www.uca.es/coronavirus/</w:t>
        </w:r>
      </w:hyperlink>
      <w:r w:rsidRPr="0070175D">
        <w:rPr>
          <w:rFonts w:asciiTheme="minorHAnsi" w:hAnsiTheme="minorHAnsi"/>
          <w:i/>
          <w:sz w:val="20"/>
          <w:szCs w:val="20"/>
          <w:shd w:val="clear" w:color="auto" w:fill="FFFFFF"/>
        </w:rPr>
        <w:t>.</w:t>
      </w:r>
    </w:p>
    <w:p w14:paraId="1E89D510" w14:textId="77777777" w:rsidR="00C60916" w:rsidRDefault="00C60916" w:rsidP="00AE14B1">
      <w:pPr>
        <w:spacing w:after="0" w:line="240" w:lineRule="auto"/>
        <w:jc w:val="both"/>
        <w:rPr>
          <w:rFonts w:asciiTheme="minorHAnsi" w:hAnsiTheme="minorHAnsi"/>
          <w:i/>
          <w:sz w:val="20"/>
          <w:szCs w:val="20"/>
          <w:shd w:val="clear" w:color="auto" w:fill="FFFFFF"/>
        </w:rPr>
      </w:pPr>
      <w:r w:rsidRPr="0070175D">
        <w:rPr>
          <w:rFonts w:asciiTheme="minorHAnsi" w:hAnsiTheme="minorHAnsi"/>
          <w:i/>
          <w:sz w:val="20"/>
          <w:szCs w:val="20"/>
          <w:shd w:val="clear" w:color="auto" w:fill="FFFFFF"/>
        </w:rPr>
        <w:t>Además de esta información de carácter general para toda la comunidad universitar</w:t>
      </w:r>
      <w:r w:rsidR="00AA0170">
        <w:rPr>
          <w:rFonts w:asciiTheme="minorHAnsi" w:hAnsiTheme="minorHAnsi"/>
          <w:i/>
          <w:sz w:val="20"/>
          <w:szCs w:val="20"/>
          <w:shd w:val="clear" w:color="auto" w:fill="FFFFFF"/>
        </w:rPr>
        <w:t xml:space="preserve">ia de la UCA, en la Facultad de Ciencias de la UCA </w:t>
      </w:r>
      <w:r w:rsidR="003602D4">
        <w:rPr>
          <w:rFonts w:asciiTheme="minorHAnsi" w:hAnsiTheme="minorHAnsi"/>
          <w:i/>
          <w:sz w:val="20"/>
          <w:szCs w:val="20"/>
          <w:shd w:val="clear" w:color="auto" w:fill="FFFFFF"/>
        </w:rPr>
        <w:t xml:space="preserve">y el máster en Agroalimentación </w:t>
      </w:r>
      <w:r w:rsidRPr="0070175D">
        <w:rPr>
          <w:rFonts w:asciiTheme="minorHAnsi" w:hAnsiTheme="minorHAnsi"/>
          <w:i/>
          <w:sz w:val="20"/>
          <w:szCs w:val="20"/>
          <w:shd w:val="clear" w:color="auto" w:fill="FFFFFF"/>
        </w:rPr>
        <w:t>se ha informado a su colectividad universitaria a través de:</w:t>
      </w:r>
      <w:r w:rsidR="003602D4" w:rsidRPr="003602D4">
        <w:t xml:space="preserve"> </w:t>
      </w:r>
      <w:hyperlink r:id="rId16" w:history="1">
        <w:r w:rsidR="003602D4" w:rsidRPr="003602D4">
          <w:rPr>
            <w:rStyle w:val="Hipervnculo"/>
            <w:rFonts w:asciiTheme="minorHAnsi" w:hAnsiTheme="minorHAnsi"/>
            <w:i/>
            <w:sz w:val="20"/>
            <w:szCs w:val="20"/>
            <w:shd w:val="clear" w:color="auto" w:fill="FFFFFF"/>
          </w:rPr>
          <w:t>https://ciencias.uca.es/covid-fc/</w:t>
        </w:r>
      </w:hyperlink>
      <w:r w:rsidR="003602D4">
        <w:rPr>
          <w:rFonts w:asciiTheme="minorHAnsi" w:hAnsiTheme="minorHAnsi"/>
          <w:i/>
          <w:sz w:val="20"/>
          <w:szCs w:val="20"/>
          <w:shd w:val="clear" w:color="auto" w:fill="FFFFFF"/>
        </w:rPr>
        <w:t>.</w:t>
      </w:r>
    </w:p>
    <w:p w14:paraId="57249F23" w14:textId="3FCBDD5A" w:rsidR="00037BD7" w:rsidRDefault="003602D4" w:rsidP="00AE14B1">
      <w:pPr>
        <w:spacing w:after="0" w:line="240" w:lineRule="auto"/>
        <w:jc w:val="both"/>
        <w:rPr>
          <w:rFonts w:asciiTheme="minorHAnsi" w:hAnsiTheme="minorHAnsi"/>
          <w:color w:val="FF0000"/>
          <w:sz w:val="20"/>
          <w:szCs w:val="20"/>
          <w:shd w:val="clear" w:color="auto" w:fill="FFFFFF"/>
        </w:rPr>
      </w:pPr>
      <w:r>
        <w:rPr>
          <w:rFonts w:asciiTheme="minorHAnsi" w:hAnsiTheme="minorHAnsi"/>
          <w:i/>
          <w:sz w:val="20"/>
          <w:szCs w:val="20"/>
          <w:shd w:val="clear" w:color="auto" w:fill="FFFFFF"/>
        </w:rPr>
        <w:t xml:space="preserve">En la Universidad de Córdoba la información se ha comunicado de forma análoga: </w:t>
      </w:r>
      <w:hyperlink r:id="rId17" w:history="1">
        <w:r w:rsidRPr="003602D4">
          <w:rPr>
            <w:rStyle w:val="Hipervnculo"/>
            <w:rFonts w:asciiTheme="minorHAnsi" w:hAnsiTheme="minorHAnsi"/>
            <w:i/>
            <w:sz w:val="20"/>
            <w:szCs w:val="20"/>
            <w:shd w:val="clear" w:color="auto" w:fill="FFFFFF"/>
          </w:rPr>
          <w:t>https://www.uco.es/estudios/idep/agroalimentacion#adaptacion-covid-19</w:t>
        </w:r>
      </w:hyperlink>
      <w:r>
        <w:rPr>
          <w:rFonts w:asciiTheme="minorHAnsi" w:hAnsiTheme="minorHAnsi"/>
          <w:i/>
          <w:sz w:val="20"/>
          <w:szCs w:val="20"/>
          <w:shd w:val="clear" w:color="auto" w:fill="FFFFFF"/>
        </w:rPr>
        <w:t>.</w:t>
      </w:r>
    </w:p>
    <w:tbl>
      <w:tblPr>
        <w:tblpPr w:leftFromText="141" w:rightFromText="141" w:vertAnchor="text" w:horzAnchor="margin" w:tblpY="3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602D4" w:rsidRPr="00037BD7" w14:paraId="37A4DA08" w14:textId="77777777" w:rsidTr="003602D4">
        <w:tc>
          <w:tcPr>
            <w:tcW w:w="5000" w:type="pct"/>
            <w:shd w:val="clear" w:color="auto" w:fill="00607C"/>
          </w:tcPr>
          <w:p w14:paraId="32F9E3CC" w14:textId="77777777" w:rsidR="003602D4" w:rsidRPr="00037BD7" w:rsidRDefault="003602D4" w:rsidP="003602D4">
            <w:pPr>
              <w:spacing w:after="0" w:line="240" w:lineRule="auto"/>
              <w:jc w:val="both"/>
              <w:rPr>
                <w:b/>
                <w:i/>
                <w:color w:val="FFFFFF"/>
                <w:sz w:val="20"/>
                <w:szCs w:val="20"/>
              </w:rPr>
            </w:pPr>
            <w:r w:rsidRPr="00037BD7">
              <w:rPr>
                <w:b/>
                <w:i/>
                <w:color w:val="FFFFFF"/>
                <w:sz w:val="20"/>
                <w:szCs w:val="20"/>
              </w:rPr>
              <w:t>Puntos Fuertes:</w:t>
            </w:r>
          </w:p>
        </w:tc>
      </w:tr>
      <w:tr w:rsidR="003602D4" w:rsidRPr="00037BD7" w14:paraId="1169EBAE" w14:textId="77777777" w:rsidTr="003602D4">
        <w:trPr>
          <w:trHeight w:val="444"/>
        </w:trPr>
        <w:tc>
          <w:tcPr>
            <w:tcW w:w="5000" w:type="pct"/>
            <w:tcBorders>
              <w:bottom w:val="single" w:sz="4" w:space="0" w:color="auto"/>
            </w:tcBorders>
          </w:tcPr>
          <w:p w14:paraId="4A4D4557" w14:textId="77777777" w:rsidR="003602D4" w:rsidRPr="00E32CFE" w:rsidRDefault="00E32CFE" w:rsidP="00486E2E">
            <w:pPr>
              <w:autoSpaceDE w:val="0"/>
              <w:autoSpaceDN w:val="0"/>
              <w:adjustRightInd w:val="0"/>
              <w:spacing w:after="0" w:line="240" w:lineRule="auto"/>
              <w:jc w:val="both"/>
              <w:rPr>
                <w:sz w:val="20"/>
                <w:szCs w:val="20"/>
              </w:rPr>
            </w:pPr>
            <w:r>
              <w:rPr>
                <w:sz w:val="20"/>
                <w:szCs w:val="20"/>
              </w:rPr>
              <w:t xml:space="preserve">En el curso </w:t>
            </w:r>
            <w:r w:rsidRPr="00E32CFE">
              <w:rPr>
                <w:sz w:val="20"/>
                <w:szCs w:val="20"/>
              </w:rPr>
              <w:t>2020/21</w:t>
            </w:r>
            <w:r>
              <w:rPr>
                <w:sz w:val="20"/>
                <w:szCs w:val="20"/>
              </w:rPr>
              <w:t>, el g</w:t>
            </w:r>
            <w:r w:rsidRPr="00E32CFE">
              <w:rPr>
                <w:rFonts w:asciiTheme="minorHAnsi" w:eastAsia="Times New Roman" w:hAnsiTheme="minorHAnsi" w:cs="Arial"/>
                <w:bCs/>
                <w:color w:val="000000"/>
                <w:sz w:val="20"/>
                <w:szCs w:val="20"/>
                <w:lang w:eastAsia="es-ES"/>
              </w:rPr>
              <w:t>rado de satisfacción del alumnado con la información publicada del Título-Centro</w:t>
            </w:r>
            <w:r>
              <w:rPr>
                <w:rFonts w:asciiTheme="minorHAnsi" w:eastAsia="Times New Roman" w:hAnsiTheme="minorHAnsi" w:cs="Arial"/>
                <w:bCs/>
                <w:color w:val="000000"/>
                <w:sz w:val="20"/>
                <w:szCs w:val="20"/>
                <w:lang w:eastAsia="es-ES"/>
              </w:rPr>
              <w:t xml:space="preserve"> ha aumentado</w:t>
            </w:r>
            <w:r w:rsidR="00486E2E">
              <w:rPr>
                <w:rFonts w:asciiTheme="minorHAnsi" w:eastAsia="Times New Roman" w:hAnsiTheme="minorHAnsi" w:cs="Arial"/>
                <w:bCs/>
                <w:color w:val="000000"/>
                <w:sz w:val="20"/>
                <w:szCs w:val="20"/>
                <w:lang w:eastAsia="es-ES"/>
              </w:rPr>
              <w:t xml:space="preserve"> con respecto a los años anteriores</w:t>
            </w:r>
          </w:p>
        </w:tc>
      </w:tr>
    </w:tbl>
    <w:p w14:paraId="27833A38" w14:textId="77777777" w:rsidR="00037BD7" w:rsidRDefault="00037BD7" w:rsidP="001D1BEF">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4085"/>
        <w:gridCol w:w="4086"/>
      </w:tblGrid>
      <w:tr w:rsidR="00B353CE" w:rsidRPr="008A24E7" w14:paraId="4CB9465C" w14:textId="77777777" w:rsidTr="00AD2FC2">
        <w:trPr>
          <w:jc w:val="center"/>
        </w:trPr>
        <w:tc>
          <w:tcPr>
            <w:tcW w:w="520" w:type="pct"/>
            <w:tcBorders>
              <w:left w:val="single" w:sz="4" w:space="0" w:color="auto"/>
              <w:right w:val="single" w:sz="4" w:space="0" w:color="auto"/>
            </w:tcBorders>
            <w:shd w:val="clear" w:color="auto" w:fill="auto"/>
            <w:vAlign w:val="center"/>
          </w:tcPr>
          <w:p w14:paraId="705D3F2C" w14:textId="77777777" w:rsidR="00B353CE" w:rsidRPr="004B4751" w:rsidRDefault="00B353CE" w:rsidP="00B353CE">
            <w:pPr>
              <w:spacing w:after="0" w:line="240" w:lineRule="auto"/>
              <w:jc w:val="center"/>
              <w:rPr>
                <w:b/>
                <w:sz w:val="16"/>
                <w:szCs w:val="16"/>
              </w:rPr>
            </w:pPr>
            <w:r w:rsidRPr="004B4751">
              <w:rPr>
                <w:b/>
                <w:sz w:val="16"/>
                <w:szCs w:val="16"/>
              </w:rPr>
              <w:t xml:space="preserve">Fecha del informe </w:t>
            </w:r>
            <w:r w:rsidR="00AF401F">
              <w:rPr>
                <w:b/>
                <w:sz w:val="16"/>
                <w:szCs w:val="16"/>
              </w:rPr>
              <w:t>DEVA</w:t>
            </w:r>
            <w:r w:rsidR="00FE670B">
              <w:rPr>
                <w:b/>
                <w:sz w:val="16"/>
                <w:szCs w:val="16"/>
              </w:rPr>
              <w:t xml:space="preserve"> (Especificar  tipo de informe DEVA) (*)</w:t>
            </w:r>
          </w:p>
        </w:tc>
        <w:tc>
          <w:tcPr>
            <w:tcW w:w="2240" w:type="pct"/>
            <w:tcBorders>
              <w:left w:val="single" w:sz="4" w:space="0" w:color="auto"/>
              <w:right w:val="single" w:sz="4" w:space="0" w:color="auto"/>
            </w:tcBorders>
            <w:shd w:val="clear" w:color="auto" w:fill="auto"/>
            <w:vAlign w:val="center"/>
          </w:tcPr>
          <w:p w14:paraId="444D6A1A" w14:textId="77777777" w:rsidR="00B353CE" w:rsidRPr="004B4751" w:rsidRDefault="008076C8" w:rsidP="008076C8">
            <w:pPr>
              <w:spacing w:after="0" w:line="240" w:lineRule="auto"/>
              <w:jc w:val="center"/>
              <w:rPr>
                <w:b/>
                <w:sz w:val="16"/>
                <w:szCs w:val="16"/>
              </w:rPr>
            </w:pPr>
            <w:r>
              <w:rPr>
                <w:b/>
                <w:sz w:val="16"/>
                <w:szCs w:val="16"/>
              </w:rPr>
              <w:t>Recomendaciones recibidas</w:t>
            </w:r>
          </w:p>
        </w:tc>
        <w:tc>
          <w:tcPr>
            <w:tcW w:w="2240" w:type="pct"/>
            <w:tcBorders>
              <w:left w:val="single" w:sz="4" w:space="0" w:color="auto"/>
              <w:right w:val="single" w:sz="4" w:space="0" w:color="auto"/>
            </w:tcBorders>
            <w:shd w:val="clear" w:color="auto" w:fill="auto"/>
            <w:vAlign w:val="center"/>
          </w:tcPr>
          <w:p w14:paraId="68EC4FAB" w14:textId="77777777" w:rsidR="00B353CE" w:rsidRPr="004B4751" w:rsidRDefault="00B353CE" w:rsidP="000E4062">
            <w:pPr>
              <w:spacing w:after="0" w:line="240" w:lineRule="auto"/>
              <w:jc w:val="center"/>
              <w:rPr>
                <w:b/>
                <w:sz w:val="16"/>
                <w:szCs w:val="16"/>
              </w:rPr>
            </w:pPr>
            <w:r w:rsidRPr="004B4751">
              <w:rPr>
                <w:b/>
                <w:sz w:val="16"/>
                <w:szCs w:val="16"/>
              </w:rPr>
              <w:t>Acciones</w:t>
            </w:r>
            <w:r w:rsidR="003105FF" w:rsidRPr="004B4751">
              <w:rPr>
                <w:b/>
                <w:sz w:val="16"/>
                <w:szCs w:val="16"/>
              </w:rPr>
              <w:t xml:space="preserve"> de mejora p</w:t>
            </w:r>
            <w:r w:rsidRPr="004B4751">
              <w:rPr>
                <w:b/>
                <w:sz w:val="16"/>
                <w:szCs w:val="16"/>
              </w:rPr>
              <w:t>ara dar respuesta a estas recomenda</w:t>
            </w:r>
            <w:r w:rsidR="008076C8">
              <w:rPr>
                <w:b/>
                <w:sz w:val="16"/>
                <w:szCs w:val="16"/>
              </w:rPr>
              <w:t xml:space="preserve">ciones </w:t>
            </w:r>
          </w:p>
        </w:tc>
      </w:tr>
      <w:tr w:rsidR="00B353CE" w:rsidRPr="00AD2FC2" w14:paraId="69F4DDDC" w14:textId="77777777" w:rsidTr="00AD2FC2">
        <w:trPr>
          <w:jc w:val="center"/>
        </w:trPr>
        <w:tc>
          <w:tcPr>
            <w:tcW w:w="520" w:type="pct"/>
            <w:tcBorders>
              <w:left w:val="single" w:sz="4" w:space="0" w:color="auto"/>
              <w:right w:val="single" w:sz="4" w:space="0" w:color="auto"/>
            </w:tcBorders>
            <w:vAlign w:val="center"/>
          </w:tcPr>
          <w:p w14:paraId="7ACD1F32" w14:textId="09A8741E" w:rsidR="00B353CE" w:rsidRPr="00AD2FC2" w:rsidRDefault="00AD2FC2" w:rsidP="00FE7F89">
            <w:pPr>
              <w:spacing w:after="0" w:line="240" w:lineRule="auto"/>
              <w:ind w:left="-138"/>
              <w:jc w:val="center"/>
              <w:rPr>
                <w:sz w:val="20"/>
                <w:szCs w:val="20"/>
              </w:rPr>
            </w:pPr>
            <w:r w:rsidRPr="00AD2FC2">
              <w:rPr>
                <w:sz w:val="20"/>
                <w:szCs w:val="20"/>
              </w:rPr>
              <w:t>Julio 20</w:t>
            </w:r>
            <w:r w:rsidR="00FE7F89">
              <w:rPr>
                <w:sz w:val="20"/>
                <w:szCs w:val="20"/>
              </w:rPr>
              <w:t>21</w:t>
            </w:r>
          </w:p>
        </w:tc>
        <w:tc>
          <w:tcPr>
            <w:tcW w:w="2240" w:type="pct"/>
            <w:tcBorders>
              <w:left w:val="single" w:sz="4" w:space="0" w:color="auto"/>
              <w:right w:val="single" w:sz="4" w:space="0" w:color="auto"/>
            </w:tcBorders>
            <w:vAlign w:val="center"/>
          </w:tcPr>
          <w:p w14:paraId="2A32B0F5" w14:textId="77777777" w:rsidR="00B353CE" w:rsidRPr="00AD2FC2" w:rsidRDefault="00B353CE" w:rsidP="00AE14B1">
            <w:pPr>
              <w:spacing w:after="0" w:line="240" w:lineRule="auto"/>
              <w:jc w:val="both"/>
              <w:rPr>
                <w:i/>
                <w:sz w:val="20"/>
                <w:szCs w:val="20"/>
              </w:rPr>
            </w:pPr>
            <w:r w:rsidRPr="00AD2FC2">
              <w:rPr>
                <w:i/>
                <w:sz w:val="20"/>
                <w:szCs w:val="20"/>
              </w:rPr>
              <w:t>Recomendación nº</w:t>
            </w:r>
            <w:r w:rsidR="00AD2FC2" w:rsidRPr="00AD2FC2">
              <w:rPr>
                <w:i/>
                <w:sz w:val="20"/>
                <w:szCs w:val="20"/>
              </w:rPr>
              <w:t>1:</w:t>
            </w:r>
          </w:p>
          <w:p w14:paraId="75BB8124" w14:textId="77777777" w:rsidR="00B353CE" w:rsidRPr="00AD2FC2" w:rsidRDefault="00AD2FC2" w:rsidP="00AE14B1">
            <w:pPr>
              <w:spacing w:after="0" w:line="240" w:lineRule="auto"/>
              <w:jc w:val="both"/>
              <w:rPr>
                <w:i/>
                <w:sz w:val="20"/>
                <w:szCs w:val="20"/>
              </w:rPr>
            </w:pPr>
            <w:r w:rsidRPr="00AD2FC2">
              <w:rPr>
                <w:i/>
                <w:sz w:val="20"/>
                <w:szCs w:val="20"/>
              </w:rPr>
              <w:t>Se recomienda evaluar la conveniencia de unificar las dos webs del Título o bien garantizar que no se produzcan inconsistencias en la información que se muestra en ambas webs</w:t>
            </w:r>
          </w:p>
        </w:tc>
        <w:tc>
          <w:tcPr>
            <w:tcW w:w="2240" w:type="pct"/>
            <w:tcBorders>
              <w:left w:val="single" w:sz="4" w:space="0" w:color="auto"/>
              <w:right w:val="single" w:sz="4" w:space="0" w:color="auto"/>
            </w:tcBorders>
          </w:tcPr>
          <w:p w14:paraId="35562FA0" w14:textId="0AF7A66E" w:rsidR="00B353CE" w:rsidRPr="00AD2FC2" w:rsidRDefault="00B353CE" w:rsidP="00AE14B1">
            <w:pPr>
              <w:spacing w:after="0" w:line="240" w:lineRule="auto"/>
              <w:jc w:val="both"/>
              <w:rPr>
                <w:sz w:val="20"/>
                <w:szCs w:val="20"/>
              </w:rPr>
            </w:pPr>
          </w:p>
          <w:p w14:paraId="466DD62E" w14:textId="77777777" w:rsidR="00AD2FC2" w:rsidRPr="00AD2FC2" w:rsidRDefault="00AD2FC2" w:rsidP="00AE14B1">
            <w:pPr>
              <w:spacing w:after="0" w:line="240" w:lineRule="auto"/>
              <w:jc w:val="both"/>
              <w:rPr>
                <w:sz w:val="20"/>
                <w:szCs w:val="20"/>
              </w:rPr>
            </w:pPr>
            <w:r w:rsidRPr="00AD2FC2">
              <w:rPr>
                <w:sz w:val="20"/>
                <w:szCs w:val="20"/>
              </w:rPr>
              <w:t>Acción de mejora: Revisar la información pública en las dos webs de cada una de las Universidades participantes en la impartición del Título, para garantizar que no se produzcan inconsistencias en la información.</w:t>
            </w:r>
          </w:p>
          <w:p w14:paraId="7EBE805E" w14:textId="77777777" w:rsidR="00AD2FC2" w:rsidRPr="00AD2FC2" w:rsidRDefault="00AD2FC2" w:rsidP="00AE14B1">
            <w:pPr>
              <w:spacing w:after="0" w:line="240" w:lineRule="auto"/>
              <w:jc w:val="both"/>
              <w:rPr>
                <w:sz w:val="20"/>
                <w:szCs w:val="20"/>
              </w:rPr>
            </w:pPr>
          </w:p>
          <w:p w14:paraId="6D4F984C" w14:textId="77777777" w:rsidR="00AD2FC2" w:rsidRPr="00AD2FC2" w:rsidRDefault="00AD2FC2" w:rsidP="00AE14B1">
            <w:pPr>
              <w:spacing w:after="0" w:line="240" w:lineRule="auto"/>
              <w:jc w:val="both"/>
              <w:rPr>
                <w:sz w:val="20"/>
                <w:szCs w:val="20"/>
              </w:rPr>
            </w:pPr>
            <w:r w:rsidRPr="00AD2FC2">
              <w:rPr>
                <w:sz w:val="20"/>
                <w:szCs w:val="20"/>
              </w:rPr>
              <w:t xml:space="preserve">Evidencia contrastable: </w:t>
            </w:r>
            <w:hyperlink r:id="rId18" w:history="1">
              <w:r w:rsidRPr="00AD2FC2">
                <w:rPr>
                  <w:rStyle w:val="Hipervnculo"/>
                  <w:sz w:val="20"/>
                  <w:szCs w:val="20"/>
                </w:rPr>
                <w:t>https://tinyurl.com/yyshtshc</w:t>
              </w:r>
            </w:hyperlink>
          </w:p>
          <w:p w14:paraId="21928915" w14:textId="77777777" w:rsidR="00AD2FC2" w:rsidRPr="00AD2FC2" w:rsidRDefault="00AD2FC2" w:rsidP="00AE14B1">
            <w:pPr>
              <w:spacing w:after="0" w:line="240" w:lineRule="auto"/>
              <w:jc w:val="both"/>
              <w:rPr>
                <w:sz w:val="20"/>
                <w:szCs w:val="20"/>
              </w:rPr>
            </w:pPr>
          </w:p>
          <w:p w14:paraId="0DA1ACA5" w14:textId="77777777" w:rsidR="00B353CE" w:rsidRPr="00AD2FC2" w:rsidRDefault="004C696C" w:rsidP="00AE14B1">
            <w:pPr>
              <w:spacing w:after="0" w:line="240" w:lineRule="auto"/>
              <w:jc w:val="both"/>
              <w:rPr>
                <w:sz w:val="20"/>
                <w:szCs w:val="20"/>
              </w:rPr>
            </w:pPr>
            <w:hyperlink r:id="rId19" w:history="1">
              <w:r w:rsidR="00AD2FC2" w:rsidRPr="00AD2FC2">
                <w:rPr>
                  <w:rStyle w:val="Hipervnculo"/>
                  <w:sz w:val="20"/>
                  <w:szCs w:val="20"/>
                </w:rPr>
                <w:t>https://tinyurl.com/y6rhzspb</w:t>
              </w:r>
            </w:hyperlink>
          </w:p>
          <w:p w14:paraId="0E68EA65" w14:textId="77777777" w:rsidR="00B353CE" w:rsidRPr="00AD2FC2" w:rsidRDefault="00B353CE" w:rsidP="00AE14B1">
            <w:pPr>
              <w:spacing w:after="0" w:line="240" w:lineRule="auto"/>
              <w:jc w:val="both"/>
              <w:rPr>
                <w:b/>
                <w:sz w:val="20"/>
                <w:szCs w:val="20"/>
              </w:rPr>
            </w:pPr>
          </w:p>
        </w:tc>
      </w:tr>
    </w:tbl>
    <w:p w14:paraId="71F03176" w14:textId="77777777" w:rsidR="00FE670B" w:rsidRPr="00FE670B" w:rsidRDefault="00FE670B" w:rsidP="007F360A">
      <w:pPr>
        <w:jc w:val="both"/>
        <w:rPr>
          <w:sz w:val="16"/>
          <w:szCs w:val="16"/>
        </w:rPr>
      </w:pPr>
      <w:r w:rsidRPr="00FE670B">
        <w:rPr>
          <w:sz w:val="16"/>
          <w:szCs w:val="16"/>
        </w:rPr>
        <w:t>(*) Informe de verificación, modificación, seguimiento o renovación de la acreditación.</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86419B" w14:paraId="5AEFDBED" w14:textId="77777777" w:rsidTr="00BB1529">
        <w:trPr>
          <w:jc w:val="center"/>
        </w:trPr>
        <w:tc>
          <w:tcPr>
            <w:tcW w:w="5000" w:type="pct"/>
            <w:shd w:val="clear" w:color="auto" w:fill="D9D9D9"/>
          </w:tcPr>
          <w:p w14:paraId="26A67554" w14:textId="77777777" w:rsidR="003370C1" w:rsidRPr="000C41E0" w:rsidRDefault="000F62B4" w:rsidP="00B416FA">
            <w:pPr>
              <w:pStyle w:val="Prrafodelista"/>
              <w:numPr>
                <w:ilvl w:val="0"/>
                <w:numId w:val="3"/>
              </w:numPr>
              <w:spacing w:before="60" w:after="60" w:line="240" w:lineRule="auto"/>
              <w:ind w:left="300" w:hanging="357"/>
              <w:contextualSpacing w:val="0"/>
              <w:rPr>
                <w:b/>
                <w:i/>
              </w:rPr>
            </w:pPr>
            <w:r>
              <w:rPr>
                <w:rFonts w:asciiTheme="minorHAnsi" w:hAnsiTheme="minorHAnsi"/>
                <w:i/>
                <w:sz w:val="16"/>
              </w:rPr>
              <w:br w:type="page"/>
            </w:r>
            <w:r w:rsidR="003370C1" w:rsidRPr="0086419B">
              <w:rPr>
                <w:b/>
                <w:i/>
              </w:rPr>
              <w:t>APLICACIÓN DEL SISTEMA DE GARANTÍA INTERNO DE LA CALIDAD</w:t>
            </w:r>
          </w:p>
        </w:tc>
      </w:tr>
    </w:tbl>
    <w:p w14:paraId="3ED4E6B8" w14:textId="77777777" w:rsidR="003370C1" w:rsidRDefault="003370C1" w:rsidP="00D56437">
      <w:pPr>
        <w:pStyle w:val="Default"/>
        <w:jc w:val="both"/>
        <w:rPr>
          <w:rFonts w:asciiTheme="minorHAnsi" w:hAnsiTheme="minorHAnsi"/>
          <w:i/>
          <w:color w:val="auto"/>
          <w:sz w:val="16"/>
        </w:rPr>
      </w:pPr>
    </w:p>
    <w:p w14:paraId="08A3EF99" w14:textId="77777777" w:rsidR="003A185B" w:rsidRDefault="003A185B" w:rsidP="00D56437">
      <w:pPr>
        <w:pStyle w:val="Default"/>
        <w:jc w:val="both"/>
        <w:rPr>
          <w:rFonts w:asciiTheme="minorHAnsi" w:hAnsiTheme="minorHAnsi"/>
          <w:i/>
          <w:color w:val="auto"/>
          <w:sz w:val="16"/>
        </w:rPr>
      </w:pPr>
    </w:p>
    <w:p w14:paraId="142B7064" w14:textId="77777777" w:rsidR="003A185B" w:rsidRPr="00BD7414" w:rsidRDefault="003A185B" w:rsidP="003A185B">
      <w:pPr>
        <w:spacing w:after="0" w:line="240" w:lineRule="auto"/>
        <w:jc w:val="both"/>
        <w:rPr>
          <w:rFonts w:asciiTheme="minorHAnsi" w:hAnsiTheme="minorHAnsi"/>
          <w:color w:val="FFFFFF"/>
        </w:rPr>
      </w:pPr>
      <w:r w:rsidRPr="00C71BAF">
        <w:rPr>
          <w:rFonts w:asciiTheme="minorHAnsi" w:hAnsiTheme="minorHAnsi"/>
          <w:b/>
          <w:i/>
        </w:rPr>
        <w:t>Análisis y Valoración:</w:t>
      </w:r>
    </w:p>
    <w:p w14:paraId="61835B75" w14:textId="77777777" w:rsidR="003A185B" w:rsidRDefault="003A185B" w:rsidP="00D56437">
      <w:pPr>
        <w:pStyle w:val="Default"/>
        <w:jc w:val="both"/>
        <w:rPr>
          <w:rFonts w:asciiTheme="minorHAnsi" w:hAnsiTheme="minorHAnsi"/>
          <w:i/>
          <w:color w:val="auto"/>
          <w:sz w:val="16"/>
        </w:rPr>
      </w:pPr>
    </w:p>
    <w:p w14:paraId="07587B03" w14:textId="22979FB6" w:rsidR="00EC4984" w:rsidRPr="003805C1" w:rsidRDefault="007407C7" w:rsidP="003B1158">
      <w:pPr>
        <w:autoSpaceDE w:val="0"/>
        <w:autoSpaceDN w:val="0"/>
        <w:adjustRightInd w:val="0"/>
        <w:spacing w:after="120" w:line="240" w:lineRule="auto"/>
        <w:jc w:val="both"/>
        <w:rPr>
          <w:rFonts w:asciiTheme="minorHAnsi" w:hAnsiTheme="minorHAnsi"/>
          <w:bCs/>
          <w:sz w:val="20"/>
          <w:szCs w:val="20"/>
        </w:rPr>
      </w:pPr>
      <w:r>
        <w:rPr>
          <w:rFonts w:asciiTheme="minorHAnsi" w:hAnsiTheme="minorHAnsi"/>
          <w:bCs/>
          <w:sz w:val="20"/>
          <w:szCs w:val="20"/>
        </w:rPr>
        <w:t xml:space="preserve">La Universidad de Cádiz (UCA), </w:t>
      </w:r>
      <w:r w:rsidR="00EC4984" w:rsidRPr="003805C1">
        <w:rPr>
          <w:rFonts w:asciiTheme="minorHAnsi" w:hAnsiTheme="minorHAnsi"/>
          <w:bCs/>
          <w:sz w:val="20"/>
          <w:szCs w:val="20"/>
        </w:rPr>
        <w:t xml:space="preserve">diseñó en 2008 un Sistema de Garantía Interna de Calidad (SGIC) para todos sus centros y títulos, siendo certificado </w:t>
      </w:r>
      <w:r>
        <w:rPr>
          <w:rFonts w:asciiTheme="minorHAnsi" w:hAnsiTheme="minorHAnsi"/>
          <w:bCs/>
          <w:sz w:val="20"/>
          <w:szCs w:val="20"/>
        </w:rPr>
        <w:t xml:space="preserve">este diseño en el año 2010 por </w:t>
      </w:r>
      <w:r w:rsidR="00EC4984" w:rsidRPr="003805C1">
        <w:rPr>
          <w:rFonts w:asciiTheme="minorHAnsi" w:hAnsiTheme="minorHAnsi"/>
          <w:bCs/>
          <w:sz w:val="20"/>
          <w:szCs w:val="20"/>
        </w:rPr>
        <w:t>su alineación con los criterios del Programa AUDIT.</w:t>
      </w:r>
    </w:p>
    <w:p w14:paraId="6873DDF5" w14:textId="472949DB" w:rsidR="00EC4984" w:rsidRPr="003805C1" w:rsidRDefault="00EC4984" w:rsidP="003B1158">
      <w:pPr>
        <w:autoSpaceDE w:val="0"/>
        <w:autoSpaceDN w:val="0"/>
        <w:adjustRightInd w:val="0"/>
        <w:spacing w:after="120" w:line="240" w:lineRule="auto"/>
        <w:jc w:val="both"/>
        <w:rPr>
          <w:rFonts w:asciiTheme="minorHAnsi" w:hAnsiTheme="minorHAnsi"/>
          <w:bCs/>
          <w:sz w:val="20"/>
          <w:szCs w:val="20"/>
        </w:rPr>
      </w:pPr>
      <w:r w:rsidRPr="003805C1">
        <w:rPr>
          <w:rFonts w:asciiTheme="minorHAnsi" w:hAnsiTheme="minorHAnsi"/>
          <w:bCs/>
          <w:sz w:val="20"/>
          <w:szCs w:val="20"/>
        </w:rPr>
        <w:t>E</w:t>
      </w:r>
      <w:r w:rsidR="00A46CC7" w:rsidRPr="003805C1">
        <w:rPr>
          <w:rFonts w:asciiTheme="minorHAnsi" w:hAnsiTheme="minorHAnsi"/>
          <w:bCs/>
          <w:sz w:val="20"/>
          <w:szCs w:val="20"/>
        </w:rPr>
        <w:t>st</w:t>
      </w:r>
      <w:r w:rsidRPr="003805C1">
        <w:rPr>
          <w:rFonts w:asciiTheme="minorHAnsi" w:hAnsiTheme="minorHAnsi"/>
          <w:bCs/>
          <w:sz w:val="20"/>
          <w:szCs w:val="20"/>
        </w:rPr>
        <w:t>a</w:t>
      </w:r>
      <w:r w:rsidR="00FC0F2B" w:rsidRPr="003805C1">
        <w:rPr>
          <w:rFonts w:asciiTheme="minorHAnsi" w:hAnsiTheme="minorHAnsi"/>
          <w:bCs/>
          <w:sz w:val="20"/>
          <w:szCs w:val="20"/>
        </w:rPr>
        <w:t xml:space="preserve"> primera versión </w:t>
      </w:r>
      <w:r w:rsidRPr="003805C1">
        <w:rPr>
          <w:rFonts w:asciiTheme="minorHAnsi" w:hAnsiTheme="minorHAnsi"/>
          <w:bCs/>
          <w:sz w:val="20"/>
          <w:szCs w:val="20"/>
        </w:rPr>
        <w:t xml:space="preserve">se ha revisado y actualizado </w:t>
      </w:r>
      <w:r w:rsidR="00AC4C47" w:rsidRPr="003805C1">
        <w:rPr>
          <w:rFonts w:asciiTheme="minorHAnsi" w:hAnsiTheme="minorHAnsi"/>
          <w:bCs/>
          <w:sz w:val="20"/>
          <w:szCs w:val="20"/>
        </w:rPr>
        <w:t>a</w:t>
      </w:r>
      <w:r w:rsidR="003B1158">
        <w:rPr>
          <w:rFonts w:asciiTheme="minorHAnsi" w:hAnsiTheme="minorHAnsi"/>
          <w:bCs/>
          <w:sz w:val="20"/>
          <w:szCs w:val="20"/>
        </w:rPr>
        <w:t xml:space="preserve"> </w:t>
      </w:r>
      <w:r w:rsidR="00AC4C47" w:rsidRPr="003805C1">
        <w:rPr>
          <w:rFonts w:asciiTheme="minorHAnsi" w:hAnsiTheme="minorHAnsi"/>
          <w:bCs/>
          <w:sz w:val="20"/>
          <w:szCs w:val="20"/>
        </w:rPr>
        <w:t>l</w:t>
      </w:r>
      <w:r w:rsidR="003B1158">
        <w:rPr>
          <w:rFonts w:asciiTheme="minorHAnsi" w:hAnsiTheme="minorHAnsi"/>
          <w:bCs/>
          <w:sz w:val="20"/>
          <w:szCs w:val="20"/>
        </w:rPr>
        <w:t>o</w:t>
      </w:r>
      <w:r w:rsidR="00AC4C47" w:rsidRPr="003805C1">
        <w:rPr>
          <w:rFonts w:asciiTheme="minorHAnsi" w:hAnsiTheme="minorHAnsi"/>
          <w:bCs/>
          <w:sz w:val="20"/>
          <w:szCs w:val="20"/>
        </w:rPr>
        <w:t xml:space="preserve"> largo</w:t>
      </w:r>
      <w:r w:rsidRPr="003805C1">
        <w:rPr>
          <w:rFonts w:asciiTheme="minorHAnsi" w:hAnsiTheme="minorHAnsi"/>
          <w:bCs/>
          <w:sz w:val="20"/>
          <w:szCs w:val="20"/>
        </w:rPr>
        <w:t xml:space="preserve"> de los años en base a las experiencias </w:t>
      </w:r>
      <w:r w:rsidR="00293385" w:rsidRPr="003805C1">
        <w:rPr>
          <w:rFonts w:asciiTheme="minorHAnsi" w:hAnsiTheme="minorHAnsi"/>
          <w:bCs/>
          <w:sz w:val="20"/>
          <w:szCs w:val="20"/>
        </w:rPr>
        <w:t>acumuladas,</w:t>
      </w:r>
      <w:r w:rsidRPr="003805C1">
        <w:rPr>
          <w:rFonts w:asciiTheme="minorHAnsi" w:hAnsiTheme="minorHAnsi"/>
          <w:bCs/>
          <w:sz w:val="20"/>
          <w:szCs w:val="20"/>
        </w:rPr>
        <w:t xml:space="preserve"> así como para dar respuesta a las diferentes normativas o protocolos de evaluaci</w:t>
      </w:r>
      <w:r w:rsidR="00A46CC7" w:rsidRPr="003805C1">
        <w:rPr>
          <w:rFonts w:asciiTheme="minorHAnsi" w:hAnsiTheme="minorHAnsi"/>
          <w:bCs/>
          <w:sz w:val="20"/>
          <w:szCs w:val="20"/>
        </w:rPr>
        <w:t>ón</w:t>
      </w:r>
      <w:r w:rsidR="003B1158" w:rsidRPr="00AE14B1">
        <w:t>. La última</w:t>
      </w:r>
      <w:r w:rsidR="007407C7">
        <w:t xml:space="preserve"> de estas revisiones, V3.0, </w:t>
      </w:r>
      <w:r w:rsidR="003B1158" w:rsidRPr="00AE14B1">
        <w:t>se aprobó en Consejo de Gobierno el 28 de junio de 2021</w:t>
      </w:r>
      <w:r w:rsidR="003B1158">
        <w:rPr>
          <w:rFonts w:asciiTheme="minorHAnsi" w:hAnsiTheme="minorHAnsi"/>
          <w:bCs/>
          <w:sz w:val="20"/>
          <w:szCs w:val="20"/>
        </w:rPr>
        <w:t xml:space="preserve"> (</w:t>
      </w:r>
      <w:hyperlink r:id="rId20" w:history="1">
        <w:r w:rsidR="00F65975" w:rsidRPr="005A4E8D">
          <w:rPr>
            <w:rStyle w:val="Hipervnculo"/>
            <w:rFonts w:asciiTheme="minorHAnsi" w:hAnsiTheme="minorHAnsi"/>
            <w:bCs/>
            <w:sz w:val="20"/>
            <w:szCs w:val="20"/>
          </w:rPr>
          <w:t>https://ucalidad.uca.es/sistema-de-garantia-de-calidad-de-los-centros-3-0-en-vigor-a-partir-del-1-10-2021/</w:t>
        </w:r>
      </w:hyperlink>
      <w:r w:rsidR="003B1158">
        <w:rPr>
          <w:rFonts w:asciiTheme="minorHAnsi" w:hAnsiTheme="minorHAnsi"/>
          <w:bCs/>
          <w:sz w:val="20"/>
          <w:szCs w:val="20"/>
        </w:rPr>
        <w:t>)</w:t>
      </w:r>
      <w:r w:rsidR="00F65975">
        <w:rPr>
          <w:rFonts w:asciiTheme="minorHAnsi" w:hAnsiTheme="minorHAnsi"/>
          <w:bCs/>
          <w:sz w:val="20"/>
          <w:szCs w:val="20"/>
        </w:rPr>
        <w:t xml:space="preserve"> </w:t>
      </w:r>
      <w:r w:rsidR="00A46CC7" w:rsidRPr="003805C1">
        <w:rPr>
          <w:rFonts w:asciiTheme="minorHAnsi" w:hAnsiTheme="minorHAnsi"/>
          <w:bCs/>
          <w:sz w:val="20"/>
          <w:szCs w:val="20"/>
        </w:rPr>
        <w:t xml:space="preserve"> entrando el SGC en vigor el 1 de octubre del mismo año.</w:t>
      </w:r>
      <w:r w:rsidR="00FC0F2B" w:rsidRPr="003805C1">
        <w:rPr>
          <w:rFonts w:asciiTheme="minorHAnsi" w:hAnsiTheme="minorHAnsi"/>
          <w:bCs/>
          <w:sz w:val="20"/>
          <w:szCs w:val="20"/>
        </w:rPr>
        <w:t xml:space="preserve"> </w:t>
      </w:r>
      <w:r w:rsidRPr="003805C1">
        <w:rPr>
          <w:rFonts w:asciiTheme="minorHAnsi" w:hAnsiTheme="minorHAnsi"/>
          <w:bCs/>
          <w:sz w:val="20"/>
          <w:szCs w:val="20"/>
        </w:rPr>
        <w:t xml:space="preserve">Todas las versiones de este Sistema se encuentran publicadas en el siguiente enlace: </w:t>
      </w:r>
      <w:hyperlink r:id="rId21" w:history="1">
        <w:r w:rsidRPr="003805C1">
          <w:rPr>
            <w:rStyle w:val="Hipervnculo"/>
            <w:rFonts w:asciiTheme="minorHAnsi" w:hAnsiTheme="minorHAnsi"/>
            <w:bCs/>
            <w:sz w:val="20"/>
            <w:szCs w:val="20"/>
          </w:rPr>
          <w:t>https://ucalidad.uca.es/versiones-anteriores-del-sgc/</w:t>
        </w:r>
      </w:hyperlink>
    </w:p>
    <w:p w14:paraId="4016DEDD" w14:textId="77777777" w:rsidR="00EC4984" w:rsidRPr="003805C1" w:rsidRDefault="00EC4984" w:rsidP="003B1158">
      <w:pPr>
        <w:autoSpaceDE w:val="0"/>
        <w:autoSpaceDN w:val="0"/>
        <w:adjustRightInd w:val="0"/>
        <w:spacing w:after="0" w:line="240" w:lineRule="auto"/>
        <w:jc w:val="both"/>
        <w:rPr>
          <w:rFonts w:asciiTheme="minorHAnsi" w:hAnsiTheme="minorHAnsi" w:cstheme="minorHAnsi"/>
          <w:color w:val="FF0000"/>
          <w:sz w:val="16"/>
          <w:szCs w:val="16"/>
        </w:rPr>
      </w:pPr>
    </w:p>
    <w:p w14:paraId="48709C7A" w14:textId="77777777" w:rsidR="00D135EE" w:rsidRPr="003805C1" w:rsidRDefault="00D135EE" w:rsidP="00AE14B1">
      <w:pPr>
        <w:spacing w:after="0" w:line="240" w:lineRule="auto"/>
        <w:jc w:val="both"/>
        <w:rPr>
          <w:rFonts w:asciiTheme="minorHAnsi" w:hAnsiTheme="minorHAnsi"/>
          <w:bCs/>
          <w:sz w:val="20"/>
          <w:szCs w:val="20"/>
        </w:rPr>
      </w:pPr>
      <w:r w:rsidRPr="003805C1">
        <w:rPr>
          <w:rFonts w:asciiTheme="minorHAnsi" w:hAnsiTheme="minorHAnsi"/>
          <w:bCs/>
          <w:sz w:val="20"/>
          <w:szCs w:val="20"/>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w:t>
      </w:r>
      <w:r w:rsidRPr="003805C1">
        <w:rPr>
          <w:rFonts w:asciiTheme="minorHAnsi" w:hAnsiTheme="minorHAnsi"/>
          <w:bCs/>
          <w:sz w:val="20"/>
          <w:szCs w:val="20"/>
        </w:rPr>
        <w:lastRenderedPageBreak/>
        <w:t xml:space="preserve">Sistema de Información de la UCA y el espacio COLABORA, a fin de poder dar respuesta tanto al proceso de Certificación de los SGC de los centros como a los de Seguimiento y Renovación de la Acreditación de los títulos. </w:t>
      </w:r>
    </w:p>
    <w:p w14:paraId="232FC625" w14:textId="77777777" w:rsidR="00EC4984" w:rsidRPr="003805C1" w:rsidRDefault="00EC4984" w:rsidP="003322EF">
      <w:pPr>
        <w:autoSpaceDE w:val="0"/>
        <w:autoSpaceDN w:val="0"/>
        <w:adjustRightInd w:val="0"/>
        <w:spacing w:after="0" w:line="240" w:lineRule="auto"/>
        <w:jc w:val="both"/>
        <w:rPr>
          <w:rFonts w:asciiTheme="minorHAnsi" w:hAnsiTheme="minorHAnsi" w:cstheme="minorHAnsi"/>
          <w:color w:val="FF0000"/>
          <w:sz w:val="16"/>
          <w:szCs w:val="16"/>
        </w:rPr>
      </w:pPr>
    </w:p>
    <w:p w14:paraId="7AD13A67" w14:textId="77777777" w:rsidR="006D2C34" w:rsidRPr="003805C1" w:rsidRDefault="006D2C34" w:rsidP="00C81DA0">
      <w:pPr>
        <w:pStyle w:val="Default"/>
        <w:jc w:val="both"/>
        <w:rPr>
          <w:rFonts w:asciiTheme="minorHAnsi" w:eastAsia="Calibri" w:hAnsiTheme="minorHAnsi" w:cstheme="minorHAnsi"/>
          <w:color w:val="FF0000"/>
          <w:sz w:val="16"/>
          <w:szCs w:val="16"/>
          <w:lang w:eastAsia="en-US"/>
        </w:rPr>
      </w:pPr>
    </w:p>
    <w:p w14:paraId="47BA6DC4" w14:textId="77777777" w:rsidR="00635338" w:rsidRPr="003805C1" w:rsidRDefault="00635338" w:rsidP="006D2C34">
      <w:pPr>
        <w:spacing w:after="0"/>
        <w:jc w:val="both"/>
        <w:rPr>
          <w:bCs/>
          <w:sz w:val="20"/>
          <w:szCs w:val="20"/>
        </w:rPr>
      </w:pPr>
      <w:r w:rsidRPr="003805C1">
        <w:rPr>
          <w:bCs/>
          <w:sz w:val="20"/>
          <w:szCs w:val="20"/>
        </w:rPr>
        <w:t>Apartado COVID</w:t>
      </w:r>
    </w:p>
    <w:p w14:paraId="5611C4DB" w14:textId="77777777" w:rsidR="00635338" w:rsidRPr="003805C1" w:rsidRDefault="00635338" w:rsidP="006D2C34">
      <w:pPr>
        <w:spacing w:after="0"/>
        <w:jc w:val="both"/>
        <w:rPr>
          <w:bCs/>
          <w:sz w:val="20"/>
          <w:szCs w:val="20"/>
        </w:rPr>
      </w:pPr>
    </w:p>
    <w:p w14:paraId="02B9D86F" w14:textId="0D0E0DD5" w:rsidR="006D2C34" w:rsidRPr="003805C1" w:rsidRDefault="006D2C34" w:rsidP="006D2C34">
      <w:pPr>
        <w:spacing w:after="0"/>
        <w:jc w:val="both"/>
        <w:rPr>
          <w:bCs/>
          <w:sz w:val="20"/>
          <w:szCs w:val="20"/>
        </w:rPr>
      </w:pPr>
      <w:r w:rsidRPr="003805C1">
        <w:rPr>
          <w:bCs/>
          <w:sz w:val="20"/>
          <w:szCs w:val="20"/>
        </w:rPr>
        <w:t>Como consecuencia de la pandemia producida por Covid‐19, el Consejo de Gobierno de la Universidad de  Cádiz  (UCA)  aprobó  una  Adenda  a  los  SGCs  de  los  títulos  oficiales  que  imparte  (</w:t>
      </w:r>
      <w:hyperlink r:id="rId22" w:history="1">
        <w:r w:rsidRPr="003805C1">
          <w:rPr>
            <w:rStyle w:val="Hipervnculo"/>
            <w:bCs/>
            <w:sz w:val="20"/>
            <w:szCs w:val="20"/>
          </w:rPr>
          <w:t>https://bit.ly/3iwhouc</w:t>
        </w:r>
      </w:hyperlink>
      <w:r w:rsidRPr="003805C1">
        <w:rPr>
          <w:bCs/>
          <w:sz w:val="20"/>
          <w:szCs w:val="20"/>
        </w:rPr>
        <w:t>), que establecía el modo en que la UCA y sus centros debían adaptar  los procedimientos  del SGC de los títulos al nuevo escenario. Su principal objetivo fue garantizar</w:t>
      </w:r>
      <w:r w:rsidR="001E72EF">
        <w:rPr>
          <w:bCs/>
          <w:sz w:val="20"/>
          <w:szCs w:val="20"/>
        </w:rPr>
        <w:t xml:space="preserve"> el adecuado desarrollo de los </w:t>
      </w:r>
      <w:r w:rsidR="001E72EF" w:rsidRPr="003805C1">
        <w:rPr>
          <w:bCs/>
          <w:sz w:val="20"/>
          <w:szCs w:val="20"/>
        </w:rPr>
        <w:t>procesos de</w:t>
      </w:r>
      <w:r w:rsidR="007407C7">
        <w:rPr>
          <w:bCs/>
          <w:sz w:val="20"/>
          <w:szCs w:val="20"/>
        </w:rPr>
        <w:t xml:space="preserve"> </w:t>
      </w:r>
      <w:r w:rsidRPr="003805C1">
        <w:rPr>
          <w:bCs/>
          <w:sz w:val="20"/>
          <w:szCs w:val="20"/>
        </w:rPr>
        <w:t>enseñanza‐</w:t>
      </w:r>
      <w:r w:rsidR="00DC4D8F" w:rsidRPr="003805C1">
        <w:rPr>
          <w:bCs/>
          <w:sz w:val="20"/>
          <w:szCs w:val="20"/>
        </w:rPr>
        <w:t xml:space="preserve">aprendizaje, </w:t>
      </w:r>
      <w:r w:rsidR="00293385" w:rsidRPr="003805C1">
        <w:rPr>
          <w:bCs/>
          <w:sz w:val="20"/>
          <w:szCs w:val="20"/>
        </w:rPr>
        <w:t>así como la adquisición por parte de los estudiantes de los conocimientos</w:t>
      </w:r>
      <w:r w:rsidRPr="003805C1">
        <w:rPr>
          <w:bCs/>
          <w:sz w:val="20"/>
          <w:szCs w:val="20"/>
        </w:rPr>
        <w:t xml:space="preserve"> y competencias propias de las enseñanzas impartidas en el título durante este periodo.</w:t>
      </w:r>
    </w:p>
    <w:p w14:paraId="2EB0C9C1" w14:textId="77777777" w:rsidR="003805C1" w:rsidRDefault="003805C1" w:rsidP="00D135EE">
      <w:pPr>
        <w:pStyle w:val="Default"/>
        <w:jc w:val="both"/>
        <w:rPr>
          <w:rFonts w:ascii="Calibri" w:eastAsia="Calibri" w:hAnsi="Calibri" w:cs="Times New Roman"/>
          <w:bCs/>
          <w:color w:val="auto"/>
          <w:sz w:val="20"/>
          <w:szCs w:val="20"/>
          <w:lang w:eastAsia="en-US"/>
        </w:rPr>
      </w:pPr>
    </w:p>
    <w:p w14:paraId="01350A14" w14:textId="77777777" w:rsidR="00F65975" w:rsidRPr="007E0AF8" w:rsidRDefault="001E72EF" w:rsidP="00F65975">
      <w:pPr>
        <w:pStyle w:val="Default"/>
        <w:contextualSpacing/>
        <w:jc w:val="both"/>
        <w:rPr>
          <w:rFonts w:ascii="Calibri" w:eastAsia="Calibri" w:hAnsi="Calibri" w:cs="Times New Roman"/>
          <w:bCs/>
          <w:iCs/>
          <w:color w:val="auto"/>
          <w:sz w:val="20"/>
          <w:szCs w:val="20"/>
          <w:lang w:eastAsia="en-US"/>
        </w:rPr>
      </w:pPr>
      <w:r w:rsidRPr="003805C1">
        <w:rPr>
          <w:rFonts w:ascii="Calibri" w:eastAsia="Calibri" w:hAnsi="Calibri" w:cs="Times New Roman"/>
          <w:bCs/>
          <w:color w:val="auto"/>
          <w:sz w:val="20"/>
          <w:szCs w:val="20"/>
          <w:lang w:eastAsia="en-US"/>
        </w:rPr>
        <w:t>Al amparo de esta adenda, fueron múltiples las decisiones que se tomaron en relación con el</w:t>
      </w:r>
      <w:r w:rsidR="00D135EE" w:rsidRPr="003805C1">
        <w:rPr>
          <w:rFonts w:ascii="Calibri" w:eastAsia="Calibri" w:hAnsi="Calibri" w:cs="Times New Roman"/>
          <w:bCs/>
          <w:color w:val="auto"/>
          <w:sz w:val="20"/>
          <w:szCs w:val="20"/>
          <w:lang w:eastAsia="en-US"/>
        </w:rPr>
        <w:t xml:space="preserve"> seguimiento y evaluación de los títulos, tanto en el ámbito de la UCA en su conjunto como en el propio centro. Una de estas decisiones fue que las encuestas de satisfacción con el título dirigidas a los distintos grupos de interés fueron aplazadas o sustituidas a fin de obtener información que </w:t>
      </w:r>
      <w:r w:rsidRPr="003805C1">
        <w:rPr>
          <w:rFonts w:ascii="Calibri" w:eastAsia="Calibri" w:hAnsi="Calibri" w:cs="Times New Roman"/>
          <w:bCs/>
          <w:color w:val="auto"/>
          <w:sz w:val="20"/>
          <w:szCs w:val="20"/>
          <w:lang w:eastAsia="en-US"/>
        </w:rPr>
        <w:t>permitiese realizar</w:t>
      </w:r>
      <w:r w:rsidR="00D135EE" w:rsidRPr="003805C1">
        <w:rPr>
          <w:rFonts w:ascii="Calibri" w:eastAsia="Calibri" w:hAnsi="Calibri" w:cs="Times New Roman"/>
          <w:bCs/>
          <w:color w:val="auto"/>
          <w:sz w:val="20"/>
          <w:szCs w:val="20"/>
          <w:lang w:eastAsia="en-US"/>
        </w:rPr>
        <w:t xml:space="preserve"> un mejor análisis, tanto de las actuaciones llevadas a cabo durante la situación de pandemia como del grado de satisfacción de los distintos grupos de interés. Dichas encuestas fueron elaboradas en el </w:t>
      </w:r>
      <w:r w:rsidRPr="003805C1">
        <w:rPr>
          <w:rFonts w:ascii="Calibri" w:eastAsia="Calibri" w:hAnsi="Calibri" w:cs="Times New Roman"/>
          <w:bCs/>
          <w:color w:val="auto"/>
          <w:sz w:val="20"/>
          <w:szCs w:val="20"/>
          <w:lang w:eastAsia="en-US"/>
        </w:rPr>
        <w:t>seno de la Asociación de Universidades Públicas Andaluzas con la colaboración de la Dirección de</w:t>
      </w:r>
      <w:r w:rsidR="00D135EE" w:rsidRPr="003805C1">
        <w:rPr>
          <w:rFonts w:ascii="Calibri" w:eastAsia="Calibri" w:hAnsi="Calibri" w:cs="Times New Roman"/>
          <w:bCs/>
          <w:color w:val="auto"/>
          <w:sz w:val="20"/>
          <w:szCs w:val="20"/>
          <w:lang w:eastAsia="en-US"/>
        </w:rPr>
        <w:t xml:space="preserve"> Evaluación y Acreditación de la Agencia Andaluza del Conocimiento (DEVA‐AAC). Como consecuencia de ello, no se dispone de algunos indicadores contemplados por el SGC, para el curso 2019/</w:t>
      </w:r>
      <w:r w:rsidRPr="003805C1">
        <w:rPr>
          <w:rFonts w:ascii="Calibri" w:eastAsia="Calibri" w:hAnsi="Calibri" w:cs="Times New Roman"/>
          <w:bCs/>
          <w:color w:val="auto"/>
          <w:sz w:val="20"/>
          <w:szCs w:val="20"/>
          <w:lang w:eastAsia="en-US"/>
        </w:rPr>
        <w:t>2020 de</w:t>
      </w:r>
      <w:r w:rsidR="00D135EE" w:rsidRPr="003805C1">
        <w:rPr>
          <w:rFonts w:ascii="Calibri" w:eastAsia="Calibri" w:hAnsi="Calibri" w:cs="Times New Roman"/>
          <w:bCs/>
          <w:color w:val="auto"/>
          <w:sz w:val="20"/>
          <w:szCs w:val="20"/>
          <w:lang w:eastAsia="en-US"/>
        </w:rPr>
        <w:t xml:space="preserve"> los títulos para el seguimiento y evaluación de estos. Los resultados de esta encuesta se encuentran publicados en el S.I. de la Universidad</w:t>
      </w:r>
      <w:r w:rsidR="00D135EE" w:rsidRPr="00D135EE">
        <w:rPr>
          <w:rFonts w:ascii="Calibri" w:eastAsia="Calibri" w:hAnsi="Calibri" w:cs="Times New Roman"/>
          <w:bCs/>
          <w:i/>
          <w:color w:val="auto"/>
          <w:sz w:val="20"/>
          <w:szCs w:val="20"/>
          <w:lang w:eastAsia="en-US"/>
        </w:rPr>
        <w:t xml:space="preserve"> </w:t>
      </w:r>
      <w:r w:rsidR="00F65975">
        <w:rPr>
          <w:rFonts w:ascii="Calibri" w:eastAsia="Calibri" w:hAnsi="Calibri" w:cs="Times New Roman"/>
          <w:bCs/>
          <w:iCs/>
          <w:color w:val="auto"/>
          <w:sz w:val="20"/>
          <w:szCs w:val="20"/>
          <w:lang w:eastAsia="en-US"/>
        </w:rPr>
        <w:t>(</w:t>
      </w:r>
      <w:hyperlink r:id="rId23" w:history="1">
        <w:r w:rsidR="00F65975" w:rsidRPr="005A4E8D">
          <w:rPr>
            <w:rStyle w:val="Hipervnculo"/>
            <w:rFonts w:ascii="Calibri" w:eastAsia="Calibri" w:hAnsi="Calibri" w:cs="Times New Roman"/>
            <w:bCs/>
            <w:iCs/>
            <w:sz w:val="20"/>
            <w:szCs w:val="20"/>
            <w:lang w:eastAsia="en-US"/>
          </w:rPr>
          <w:t>https://bit.ly/34n0onw</w:t>
        </w:r>
      </w:hyperlink>
      <w:r w:rsidR="00F65975">
        <w:rPr>
          <w:rFonts w:ascii="Calibri" w:eastAsia="Calibri" w:hAnsi="Calibri" w:cs="Times New Roman"/>
          <w:bCs/>
          <w:iCs/>
          <w:color w:val="auto"/>
          <w:sz w:val="20"/>
          <w:szCs w:val="20"/>
          <w:lang w:eastAsia="en-US"/>
        </w:rPr>
        <w:t xml:space="preserve"> - Ruta de Acceso: Alumnado – Curso 2019/20. Usuario: acredita – Clave: acredita592).</w:t>
      </w:r>
    </w:p>
    <w:p w14:paraId="4F38CA21" w14:textId="24B65058" w:rsidR="00D135EE" w:rsidRPr="00D135EE" w:rsidRDefault="00D135EE" w:rsidP="00D135EE">
      <w:pPr>
        <w:pStyle w:val="Default"/>
        <w:jc w:val="both"/>
        <w:rPr>
          <w:rFonts w:ascii="Calibri" w:eastAsia="Calibri" w:hAnsi="Calibri" w:cs="Times New Roman"/>
          <w:bCs/>
          <w:i/>
          <w:color w:val="auto"/>
          <w:sz w:val="20"/>
          <w:szCs w:val="20"/>
          <w:lang w:eastAsia="en-US"/>
        </w:rPr>
      </w:pPr>
    </w:p>
    <w:p w14:paraId="50AF3CBD" w14:textId="77777777" w:rsidR="00D135EE" w:rsidRPr="00D135EE" w:rsidRDefault="00D135EE" w:rsidP="00D135EE">
      <w:pPr>
        <w:pStyle w:val="Default"/>
        <w:jc w:val="both"/>
        <w:rPr>
          <w:rFonts w:ascii="Calibri" w:eastAsia="Calibri" w:hAnsi="Calibri" w:cs="Times New Roman"/>
          <w:bCs/>
          <w:i/>
          <w:color w:val="auto"/>
          <w:sz w:val="20"/>
          <w:szCs w:val="20"/>
          <w:lang w:eastAsia="en-US"/>
        </w:rPr>
      </w:pPr>
    </w:p>
    <w:p w14:paraId="0B751918" w14:textId="77777777" w:rsidR="009A03CA" w:rsidRDefault="00DC7608" w:rsidP="00C81DA0">
      <w:pPr>
        <w:pStyle w:val="Default"/>
        <w:jc w:val="both"/>
        <w:rPr>
          <w:rFonts w:asciiTheme="minorHAnsi" w:eastAsia="Calibri" w:hAnsiTheme="minorHAnsi" w:cstheme="minorHAnsi"/>
          <w:color w:val="auto"/>
          <w:sz w:val="20"/>
          <w:szCs w:val="20"/>
          <w:lang w:eastAsia="en-US"/>
        </w:rPr>
      </w:pPr>
      <w:r w:rsidRPr="00DC7608">
        <w:rPr>
          <w:rFonts w:asciiTheme="minorHAnsi" w:eastAsia="Calibri" w:hAnsiTheme="minorHAnsi" w:cstheme="minorHAnsi"/>
          <w:color w:val="auto"/>
          <w:sz w:val="20"/>
          <w:szCs w:val="20"/>
          <w:lang w:eastAsia="en-US"/>
        </w:rPr>
        <w:t>La CGC se reunió durante el curso 2020/2021 en siete ocasiones, con el fin de estudiar y decidir la viabilidad de todas las solicitudes recibidas en el centro referentes a expedientes de alumnos, tales como solicitudes de admisión y adaptación, de reconocimientos de créditos, de reconocimientos de idiomas, ampliaciones y modificaciones de matrículas o solicitudes de evaluación por compensación.</w:t>
      </w:r>
      <w:r w:rsidR="003805C1">
        <w:rPr>
          <w:rFonts w:asciiTheme="minorHAnsi" w:eastAsia="Calibri" w:hAnsiTheme="minorHAnsi" w:cstheme="minorHAnsi"/>
          <w:color w:val="auto"/>
          <w:sz w:val="20"/>
          <w:szCs w:val="20"/>
          <w:lang w:eastAsia="en-US"/>
        </w:rPr>
        <w:t xml:space="preserve"> </w:t>
      </w:r>
      <w:r w:rsidRPr="00DC7608">
        <w:rPr>
          <w:rFonts w:asciiTheme="minorHAnsi" w:eastAsia="Calibri" w:hAnsiTheme="minorHAnsi" w:cstheme="minorHAnsi"/>
          <w:color w:val="auto"/>
          <w:sz w:val="20"/>
          <w:szCs w:val="20"/>
          <w:lang w:eastAsia="en-US"/>
        </w:rPr>
        <w:t>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 resaltar el Autoinforme Global de Renovación de la Acreditación del Título del Master Universitario en Ingeniería Química, aprobado en la reunión celebrada el 13 de octubre de 2021, y los Autoinformes de seguimiento anual de todos los Títulos de la Facultad de Ciencias (RSGC-P14-01),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con alumnos adicionales a los que ya tenga el propio título, siendo dicha oferta aprobada en la reunión celebrada el 23 de septiembre de 2021.</w:t>
      </w:r>
    </w:p>
    <w:p w14:paraId="26506F35" w14:textId="77777777" w:rsidR="003805C1" w:rsidRDefault="003805C1" w:rsidP="00C81DA0">
      <w:pPr>
        <w:pStyle w:val="Default"/>
        <w:jc w:val="both"/>
        <w:rPr>
          <w:rFonts w:asciiTheme="minorHAnsi" w:eastAsia="Calibri" w:hAnsiTheme="minorHAnsi" w:cstheme="minorHAnsi"/>
          <w:color w:val="auto"/>
          <w:sz w:val="20"/>
          <w:szCs w:val="20"/>
          <w:lang w:eastAsia="en-US"/>
        </w:rPr>
      </w:pPr>
    </w:p>
    <w:p w14:paraId="0A6C1914" w14:textId="116546FD" w:rsidR="002F52C2" w:rsidRDefault="003805C1" w:rsidP="00195FB7">
      <w:pPr>
        <w:autoSpaceDE w:val="0"/>
        <w:autoSpaceDN w:val="0"/>
        <w:adjustRightInd w:val="0"/>
        <w:spacing w:after="0" w:line="240" w:lineRule="auto"/>
        <w:jc w:val="both"/>
        <w:rPr>
          <w:rFonts w:asciiTheme="minorHAnsi" w:eastAsiaTheme="minorEastAsia" w:hAnsiTheme="minorHAnsi" w:cstheme="minorHAnsi"/>
          <w:sz w:val="20"/>
          <w:szCs w:val="20"/>
          <w:lang w:eastAsia="es-ES"/>
        </w:rPr>
      </w:pPr>
      <w:r w:rsidRPr="00580FF9">
        <w:rPr>
          <w:rFonts w:asciiTheme="minorHAnsi" w:eastAsiaTheme="minorEastAsia" w:hAnsiTheme="minorHAnsi" w:cstheme="minorHAnsi"/>
          <w:sz w:val="20"/>
          <w:szCs w:val="20"/>
          <w:lang w:eastAsia="es-ES"/>
        </w:rPr>
        <w:t xml:space="preserve">El Máster </w:t>
      </w:r>
      <w:r>
        <w:rPr>
          <w:rFonts w:asciiTheme="minorHAnsi" w:eastAsiaTheme="minorEastAsia" w:hAnsiTheme="minorHAnsi" w:cstheme="minorHAnsi"/>
          <w:sz w:val="20"/>
          <w:szCs w:val="20"/>
          <w:lang w:eastAsia="es-ES"/>
        </w:rPr>
        <w:t xml:space="preserve">en Agroalimentación </w:t>
      </w:r>
      <w:r w:rsidRPr="00580FF9">
        <w:rPr>
          <w:rFonts w:asciiTheme="minorHAnsi" w:eastAsiaTheme="minorEastAsia" w:hAnsiTheme="minorHAnsi" w:cstheme="minorHAnsi"/>
          <w:sz w:val="20"/>
          <w:szCs w:val="20"/>
          <w:lang w:eastAsia="es-ES"/>
        </w:rPr>
        <w:t>cuenta con dos Comisiones de Garantía de Calidad: la de la UCA y la comisión de la UCO, dado su carácter interuniversitario. Además, dicho máster cuenta con una Comisión Académica constituida por profesores, representantes de alumnos y personal auxiliar de servicio de ambas universidades participantes. Esta Comisión Académica informa a la Comisión de Garantía de Calidad de cada universidad participante de las acciones de mejora aprobadas para desarrollar en el título interuniversitario. Esta comisión entró en funcionamiento en el curso 2017/2018, se reúne de forma presencial o virtual, y emite actas de sus reuniones.</w:t>
      </w:r>
      <w:r>
        <w:rPr>
          <w:rFonts w:asciiTheme="minorHAnsi" w:eastAsiaTheme="minorEastAsia" w:hAnsiTheme="minorHAnsi" w:cstheme="minorHAnsi"/>
          <w:sz w:val="20"/>
          <w:szCs w:val="20"/>
          <w:lang w:eastAsia="es-ES"/>
        </w:rPr>
        <w:t xml:space="preserve"> </w:t>
      </w:r>
    </w:p>
    <w:p w14:paraId="01D587CD" w14:textId="77777777" w:rsidR="009A03CA" w:rsidRPr="00A17929" w:rsidRDefault="009A03CA" w:rsidP="00AE14B1">
      <w:pPr>
        <w:autoSpaceDE w:val="0"/>
        <w:autoSpaceDN w:val="0"/>
        <w:adjustRightInd w:val="0"/>
        <w:spacing w:after="0" w:line="240" w:lineRule="auto"/>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A03CA" w:rsidRPr="00037BD7" w14:paraId="3BF9E521" w14:textId="77777777" w:rsidTr="00E75FD0">
        <w:trPr>
          <w:jc w:val="center"/>
        </w:trPr>
        <w:tc>
          <w:tcPr>
            <w:tcW w:w="5000" w:type="pct"/>
            <w:shd w:val="clear" w:color="auto" w:fill="00607C"/>
          </w:tcPr>
          <w:p w14:paraId="77C78302" w14:textId="77777777" w:rsidR="009A03CA" w:rsidRPr="00037BD7" w:rsidRDefault="009A03CA" w:rsidP="00E75FD0">
            <w:pPr>
              <w:spacing w:after="0" w:line="240" w:lineRule="auto"/>
              <w:jc w:val="both"/>
              <w:rPr>
                <w:b/>
                <w:i/>
                <w:color w:val="FFFFFF"/>
                <w:sz w:val="20"/>
                <w:szCs w:val="20"/>
              </w:rPr>
            </w:pPr>
            <w:r w:rsidRPr="00037BD7">
              <w:rPr>
                <w:b/>
                <w:i/>
                <w:color w:val="FFFFFF"/>
                <w:sz w:val="20"/>
                <w:szCs w:val="20"/>
              </w:rPr>
              <w:t>Puntos Fuertes:</w:t>
            </w:r>
          </w:p>
        </w:tc>
      </w:tr>
      <w:tr w:rsidR="009A03CA" w:rsidRPr="00037BD7" w14:paraId="06BA4F4B" w14:textId="77777777" w:rsidTr="00E75FD0">
        <w:trPr>
          <w:jc w:val="center"/>
        </w:trPr>
        <w:tc>
          <w:tcPr>
            <w:tcW w:w="5000" w:type="pct"/>
            <w:tcBorders>
              <w:bottom w:val="single" w:sz="4" w:space="0" w:color="auto"/>
            </w:tcBorders>
          </w:tcPr>
          <w:p w14:paraId="7CD80810" w14:textId="77777777" w:rsidR="009A03CA" w:rsidRPr="00037BD7" w:rsidRDefault="003D5CFE" w:rsidP="00486E2E">
            <w:pPr>
              <w:autoSpaceDE w:val="0"/>
              <w:autoSpaceDN w:val="0"/>
              <w:adjustRightInd w:val="0"/>
              <w:spacing w:after="0" w:line="240" w:lineRule="auto"/>
              <w:jc w:val="both"/>
              <w:rPr>
                <w:sz w:val="18"/>
              </w:rPr>
            </w:pPr>
            <w:r>
              <w:rPr>
                <w:sz w:val="18"/>
              </w:rPr>
              <w:t xml:space="preserve">En junio de 2021 se ha aprobado </w:t>
            </w:r>
            <w:r w:rsidR="00486E2E">
              <w:rPr>
                <w:sz w:val="18"/>
              </w:rPr>
              <w:t xml:space="preserve">una nueva </w:t>
            </w:r>
            <w:r w:rsidRPr="003D5CFE">
              <w:rPr>
                <w:sz w:val="18"/>
              </w:rPr>
              <w:t>versión del SGC</w:t>
            </w:r>
            <w:r w:rsidR="00486E2E">
              <w:rPr>
                <w:sz w:val="18"/>
              </w:rPr>
              <w:t xml:space="preserve"> v3.0</w:t>
            </w:r>
            <w:r>
              <w:rPr>
                <w:sz w:val="18"/>
              </w:rPr>
              <w:t>.</w:t>
            </w:r>
          </w:p>
        </w:tc>
      </w:tr>
    </w:tbl>
    <w:p w14:paraId="34809EED" w14:textId="77777777" w:rsidR="009A03CA" w:rsidRDefault="009A03CA" w:rsidP="009A03CA">
      <w:pPr>
        <w:spacing w:after="120" w:line="240" w:lineRule="auto"/>
        <w:jc w:val="both"/>
        <w:rPr>
          <w:rFonts w:asciiTheme="minorHAnsi" w:hAnsiTheme="minorHAnsi"/>
          <w:bCs/>
          <w:sz w:val="20"/>
          <w:szCs w:val="20"/>
        </w:rPr>
      </w:pPr>
    </w:p>
    <w:p w14:paraId="455DCA28" w14:textId="77777777" w:rsidR="009A03CA" w:rsidRDefault="009A03CA" w:rsidP="009A03CA">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4085"/>
        <w:gridCol w:w="4086"/>
      </w:tblGrid>
      <w:tr w:rsidR="00FE670B" w:rsidRPr="008A24E7" w14:paraId="17DCA944" w14:textId="77777777" w:rsidTr="00195FB7">
        <w:trPr>
          <w:jc w:val="center"/>
        </w:trPr>
        <w:tc>
          <w:tcPr>
            <w:tcW w:w="520" w:type="pct"/>
            <w:tcBorders>
              <w:left w:val="single" w:sz="4" w:space="0" w:color="auto"/>
              <w:right w:val="single" w:sz="4" w:space="0" w:color="auto"/>
            </w:tcBorders>
            <w:shd w:val="clear" w:color="auto" w:fill="auto"/>
            <w:vAlign w:val="center"/>
          </w:tcPr>
          <w:p w14:paraId="3A213520" w14:textId="77777777" w:rsidR="00FE670B" w:rsidRPr="004B4751" w:rsidRDefault="00FE670B" w:rsidP="00B65108">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2240" w:type="pct"/>
            <w:tcBorders>
              <w:left w:val="single" w:sz="4" w:space="0" w:color="auto"/>
              <w:right w:val="single" w:sz="4" w:space="0" w:color="auto"/>
            </w:tcBorders>
            <w:shd w:val="clear" w:color="auto" w:fill="auto"/>
            <w:vAlign w:val="center"/>
          </w:tcPr>
          <w:p w14:paraId="26FFE93D" w14:textId="77777777" w:rsidR="00FE670B" w:rsidRPr="004B4751" w:rsidRDefault="00FE670B" w:rsidP="00B65108">
            <w:pPr>
              <w:spacing w:after="0" w:line="240" w:lineRule="auto"/>
              <w:jc w:val="center"/>
              <w:rPr>
                <w:b/>
                <w:sz w:val="16"/>
                <w:szCs w:val="16"/>
              </w:rPr>
            </w:pPr>
            <w:r>
              <w:rPr>
                <w:b/>
                <w:sz w:val="16"/>
                <w:szCs w:val="16"/>
              </w:rPr>
              <w:t>Recomendaciones recibidas</w:t>
            </w:r>
          </w:p>
        </w:tc>
        <w:tc>
          <w:tcPr>
            <w:tcW w:w="2240" w:type="pct"/>
            <w:tcBorders>
              <w:left w:val="single" w:sz="4" w:space="0" w:color="auto"/>
              <w:right w:val="single" w:sz="4" w:space="0" w:color="auto"/>
            </w:tcBorders>
            <w:shd w:val="clear" w:color="auto" w:fill="auto"/>
            <w:vAlign w:val="center"/>
          </w:tcPr>
          <w:p w14:paraId="42A3901E" w14:textId="77777777" w:rsidR="00FE670B" w:rsidRPr="004B4751" w:rsidRDefault="00FE670B" w:rsidP="00B65108">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FE670B" w:rsidRPr="008A24E7" w14:paraId="180A1260" w14:textId="77777777" w:rsidTr="00195FB7">
        <w:trPr>
          <w:jc w:val="center"/>
        </w:trPr>
        <w:tc>
          <w:tcPr>
            <w:tcW w:w="520" w:type="pct"/>
            <w:tcBorders>
              <w:left w:val="single" w:sz="4" w:space="0" w:color="auto"/>
              <w:right w:val="single" w:sz="4" w:space="0" w:color="auto"/>
            </w:tcBorders>
            <w:vAlign w:val="center"/>
          </w:tcPr>
          <w:p w14:paraId="07564B6E" w14:textId="02047554" w:rsidR="00FE670B" w:rsidRPr="00195FB7" w:rsidRDefault="006C7C81" w:rsidP="00B65108">
            <w:pPr>
              <w:spacing w:after="0" w:line="240" w:lineRule="auto"/>
              <w:ind w:left="-138"/>
              <w:jc w:val="center"/>
              <w:rPr>
                <w:i/>
                <w:sz w:val="16"/>
                <w:szCs w:val="16"/>
              </w:rPr>
            </w:pPr>
            <w:r>
              <w:rPr>
                <w:i/>
                <w:sz w:val="16"/>
                <w:szCs w:val="16"/>
              </w:rPr>
              <w:t>Julio 2021</w:t>
            </w:r>
          </w:p>
        </w:tc>
        <w:tc>
          <w:tcPr>
            <w:tcW w:w="2240" w:type="pct"/>
            <w:tcBorders>
              <w:left w:val="single" w:sz="4" w:space="0" w:color="auto"/>
              <w:right w:val="single" w:sz="4" w:space="0" w:color="auto"/>
            </w:tcBorders>
            <w:vAlign w:val="center"/>
          </w:tcPr>
          <w:p w14:paraId="14987782" w14:textId="77777777" w:rsidR="00FE670B" w:rsidRPr="004B4751" w:rsidRDefault="00FE670B" w:rsidP="00AE14B1">
            <w:pPr>
              <w:spacing w:after="0" w:line="240" w:lineRule="auto"/>
              <w:jc w:val="both"/>
              <w:rPr>
                <w:i/>
                <w:sz w:val="16"/>
                <w:szCs w:val="16"/>
              </w:rPr>
            </w:pPr>
            <w:r w:rsidRPr="004B4751">
              <w:rPr>
                <w:i/>
                <w:sz w:val="16"/>
                <w:szCs w:val="16"/>
              </w:rPr>
              <w:t xml:space="preserve">Recomendación nº </w:t>
            </w:r>
            <w:r w:rsidR="00195FB7">
              <w:rPr>
                <w:i/>
                <w:color w:val="000000" w:themeColor="text1"/>
                <w:sz w:val="16"/>
                <w:szCs w:val="16"/>
              </w:rPr>
              <w:t>2.1</w:t>
            </w:r>
            <w:r w:rsidRPr="004B4751">
              <w:rPr>
                <w:i/>
                <w:sz w:val="16"/>
                <w:szCs w:val="16"/>
              </w:rPr>
              <w:t>:</w:t>
            </w:r>
          </w:p>
          <w:p w14:paraId="382D60B6" w14:textId="77777777" w:rsidR="00FE670B" w:rsidRPr="00195FB7" w:rsidRDefault="00195FB7" w:rsidP="00AE14B1">
            <w:pPr>
              <w:spacing w:after="0" w:line="240" w:lineRule="auto"/>
              <w:jc w:val="both"/>
              <w:rPr>
                <w:i/>
                <w:color w:val="000000" w:themeColor="text1"/>
                <w:sz w:val="16"/>
                <w:szCs w:val="16"/>
              </w:rPr>
            </w:pPr>
            <w:r w:rsidRPr="00195FB7">
              <w:rPr>
                <w:i/>
                <w:color w:val="000000" w:themeColor="text1"/>
                <w:sz w:val="16"/>
                <w:szCs w:val="16"/>
              </w:rPr>
              <w:t>Se recomienda revisar el gestor documental para unificarlo y evitar la complejidad que genera la dispersión en distintas plataformas con distintas contraseñas</w:t>
            </w:r>
            <w:r>
              <w:rPr>
                <w:i/>
                <w:color w:val="000000" w:themeColor="text1"/>
                <w:sz w:val="16"/>
                <w:szCs w:val="16"/>
              </w:rPr>
              <w:t>.</w:t>
            </w:r>
          </w:p>
        </w:tc>
        <w:tc>
          <w:tcPr>
            <w:tcW w:w="2240" w:type="pct"/>
            <w:tcBorders>
              <w:left w:val="single" w:sz="4" w:space="0" w:color="auto"/>
              <w:right w:val="single" w:sz="4" w:space="0" w:color="auto"/>
            </w:tcBorders>
          </w:tcPr>
          <w:p w14:paraId="3FE3FF95" w14:textId="77777777" w:rsidR="00FE670B" w:rsidRPr="004B4751" w:rsidRDefault="00FE670B" w:rsidP="00AE14B1">
            <w:pPr>
              <w:spacing w:after="0" w:line="240" w:lineRule="auto"/>
              <w:jc w:val="both"/>
              <w:rPr>
                <w:sz w:val="16"/>
                <w:szCs w:val="16"/>
              </w:rPr>
            </w:pPr>
            <w:r w:rsidRPr="004B4751">
              <w:rPr>
                <w:sz w:val="16"/>
                <w:szCs w:val="16"/>
              </w:rPr>
              <w:t>Acción de mejora:</w:t>
            </w:r>
          </w:p>
          <w:p w14:paraId="28D0CC53" w14:textId="63F1F37D" w:rsidR="00FE670B" w:rsidRPr="004B4751" w:rsidRDefault="006C7C81" w:rsidP="00AE14B1">
            <w:pPr>
              <w:spacing w:after="0" w:line="240" w:lineRule="auto"/>
              <w:jc w:val="both"/>
              <w:rPr>
                <w:sz w:val="16"/>
                <w:szCs w:val="16"/>
              </w:rPr>
            </w:pPr>
            <w:r w:rsidRPr="006C7C81">
              <w:rPr>
                <w:sz w:val="16"/>
                <w:szCs w:val="16"/>
              </w:rPr>
              <w:t>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w:t>
            </w:r>
            <w:r>
              <w:rPr>
                <w:sz w:val="16"/>
                <w:szCs w:val="16"/>
              </w:rPr>
              <w:t xml:space="preserve"> la Acreditación de los títulos</w:t>
            </w:r>
            <w:r w:rsidRPr="006C7C81">
              <w:rPr>
                <w:sz w:val="16"/>
                <w:szCs w:val="16"/>
              </w:rPr>
              <w:t>. Además, la tendencia es a que la mayoría de los registros se coloquen en la página web, por tanto</w:t>
            </w:r>
            <w:r>
              <w:rPr>
                <w:sz w:val="16"/>
                <w:szCs w:val="16"/>
              </w:rPr>
              <w:t>,</w:t>
            </w:r>
            <w:r w:rsidRPr="006C7C81">
              <w:rPr>
                <w:sz w:val="16"/>
                <w:szCs w:val="16"/>
              </w:rPr>
              <w:t xml:space="preserve"> no se necesitarían claves de acceso.</w:t>
            </w:r>
          </w:p>
          <w:p w14:paraId="6D3B53C8" w14:textId="77777777" w:rsidR="00FE670B" w:rsidRPr="004B4751" w:rsidRDefault="00FE670B" w:rsidP="00AE14B1">
            <w:pPr>
              <w:spacing w:after="0" w:line="240" w:lineRule="auto"/>
              <w:jc w:val="both"/>
              <w:rPr>
                <w:b/>
                <w:sz w:val="16"/>
                <w:szCs w:val="16"/>
              </w:rPr>
            </w:pPr>
          </w:p>
        </w:tc>
      </w:tr>
      <w:tr w:rsidR="00FE670B" w:rsidRPr="008A24E7" w14:paraId="50A8D873" w14:textId="77777777" w:rsidTr="00195FB7">
        <w:trPr>
          <w:jc w:val="center"/>
        </w:trPr>
        <w:tc>
          <w:tcPr>
            <w:tcW w:w="520" w:type="pct"/>
            <w:tcBorders>
              <w:left w:val="single" w:sz="4" w:space="0" w:color="auto"/>
              <w:right w:val="single" w:sz="4" w:space="0" w:color="auto"/>
            </w:tcBorders>
            <w:vAlign w:val="center"/>
          </w:tcPr>
          <w:p w14:paraId="556FA3F2" w14:textId="78B07F8C" w:rsidR="00FE670B" w:rsidRPr="00195FB7" w:rsidRDefault="006C7C81" w:rsidP="00B65108">
            <w:pPr>
              <w:spacing w:after="0" w:line="240" w:lineRule="auto"/>
              <w:ind w:left="-138"/>
              <w:jc w:val="center"/>
              <w:rPr>
                <w:i/>
                <w:sz w:val="16"/>
                <w:szCs w:val="16"/>
              </w:rPr>
            </w:pPr>
            <w:r>
              <w:rPr>
                <w:i/>
                <w:sz w:val="16"/>
                <w:szCs w:val="16"/>
              </w:rPr>
              <w:t>Julio 2021</w:t>
            </w:r>
          </w:p>
        </w:tc>
        <w:tc>
          <w:tcPr>
            <w:tcW w:w="2240" w:type="pct"/>
            <w:tcBorders>
              <w:left w:val="single" w:sz="4" w:space="0" w:color="auto"/>
              <w:right w:val="single" w:sz="4" w:space="0" w:color="auto"/>
            </w:tcBorders>
            <w:vAlign w:val="center"/>
          </w:tcPr>
          <w:p w14:paraId="36F16829" w14:textId="77777777" w:rsidR="00FE670B" w:rsidRPr="004B4751" w:rsidRDefault="00FE670B" w:rsidP="00AE14B1">
            <w:pPr>
              <w:spacing w:after="0" w:line="240" w:lineRule="auto"/>
              <w:jc w:val="both"/>
              <w:rPr>
                <w:i/>
                <w:sz w:val="16"/>
                <w:szCs w:val="16"/>
              </w:rPr>
            </w:pPr>
            <w:r w:rsidRPr="004B4751">
              <w:rPr>
                <w:i/>
                <w:sz w:val="16"/>
                <w:szCs w:val="16"/>
              </w:rPr>
              <w:t xml:space="preserve">Recomendación nº </w:t>
            </w:r>
            <w:r w:rsidR="00195FB7">
              <w:rPr>
                <w:i/>
                <w:color w:val="000000" w:themeColor="text1"/>
                <w:sz w:val="16"/>
                <w:szCs w:val="16"/>
              </w:rPr>
              <w:t>2.2</w:t>
            </w:r>
            <w:r w:rsidRPr="004B4751">
              <w:rPr>
                <w:i/>
                <w:sz w:val="16"/>
                <w:szCs w:val="16"/>
              </w:rPr>
              <w:t>:</w:t>
            </w:r>
          </w:p>
          <w:p w14:paraId="6635C04A" w14:textId="77777777" w:rsidR="00FE670B" w:rsidRPr="00195FB7" w:rsidRDefault="00195FB7" w:rsidP="00AE14B1">
            <w:pPr>
              <w:spacing w:after="0" w:line="240" w:lineRule="auto"/>
              <w:jc w:val="both"/>
              <w:rPr>
                <w:i/>
                <w:color w:val="000000" w:themeColor="text1"/>
                <w:sz w:val="16"/>
                <w:szCs w:val="16"/>
              </w:rPr>
            </w:pPr>
            <w:r w:rsidRPr="00195FB7">
              <w:rPr>
                <w:i/>
                <w:color w:val="000000" w:themeColor="text1"/>
                <w:sz w:val="16"/>
                <w:szCs w:val="16"/>
              </w:rPr>
              <w:t>Se recomienda poner en marcha acciones que mejoren la obtención de los resultados de satisfacción de los diferentes grupos de interés acerca del Máster, específicamente, egresados y empleadores, y sobre inserción laboral de los</w:t>
            </w:r>
            <w:r>
              <w:rPr>
                <w:i/>
                <w:color w:val="000000" w:themeColor="text1"/>
                <w:sz w:val="16"/>
                <w:szCs w:val="16"/>
              </w:rPr>
              <w:t xml:space="preserve"> </w:t>
            </w:r>
            <w:r w:rsidRPr="00195FB7">
              <w:rPr>
                <w:i/>
                <w:color w:val="000000" w:themeColor="text1"/>
                <w:sz w:val="16"/>
                <w:szCs w:val="16"/>
              </w:rPr>
              <w:t>egresado</w:t>
            </w:r>
            <w:r>
              <w:rPr>
                <w:i/>
                <w:color w:val="000000" w:themeColor="text1"/>
                <w:sz w:val="16"/>
                <w:szCs w:val="16"/>
              </w:rPr>
              <w:t>s.</w:t>
            </w:r>
          </w:p>
        </w:tc>
        <w:tc>
          <w:tcPr>
            <w:tcW w:w="2240" w:type="pct"/>
            <w:tcBorders>
              <w:left w:val="single" w:sz="4" w:space="0" w:color="auto"/>
              <w:right w:val="single" w:sz="4" w:space="0" w:color="auto"/>
            </w:tcBorders>
          </w:tcPr>
          <w:p w14:paraId="371EB717" w14:textId="77777777" w:rsidR="00FE670B" w:rsidRPr="004B4751" w:rsidRDefault="00FE670B" w:rsidP="00AE14B1">
            <w:pPr>
              <w:spacing w:after="0" w:line="240" w:lineRule="auto"/>
              <w:jc w:val="both"/>
              <w:rPr>
                <w:sz w:val="16"/>
                <w:szCs w:val="16"/>
              </w:rPr>
            </w:pPr>
            <w:r w:rsidRPr="004B4751">
              <w:rPr>
                <w:sz w:val="16"/>
                <w:szCs w:val="16"/>
              </w:rPr>
              <w:t>Acción de mejora:</w:t>
            </w:r>
          </w:p>
          <w:p w14:paraId="59CE0BD5" w14:textId="747102B2" w:rsidR="00FE670B" w:rsidRPr="004B4751" w:rsidRDefault="008D0210" w:rsidP="008D0210">
            <w:pPr>
              <w:spacing w:after="0" w:line="240" w:lineRule="auto"/>
              <w:jc w:val="both"/>
              <w:rPr>
                <w:b/>
                <w:sz w:val="16"/>
                <w:szCs w:val="16"/>
              </w:rPr>
            </w:pPr>
            <w:r>
              <w:rPr>
                <w:sz w:val="16"/>
                <w:szCs w:val="16"/>
              </w:rPr>
              <w:t xml:space="preserve">Con la modificación del Sistema de Garantía de Calidad </w:t>
            </w:r>
            <w:r w:rsidR="00324B26">
              <w:rPr>
                <w:sz w:val="16"/>
                <w:szCs w:val="16"/>
              </w:rPr>
              <w:t xml:space="preserve">a la </w:t>
            </w:r>
            <w:r>
              <w:rPr>
                <w:sz w:val="16"/>
                <w:szCs w:val="16"/>
              </w:rPr>
              <w:t>versión 3.0 se dispone de información de los egresados y empleadores. Además, desde la coordinación del máster se informa</w:t>
            </w:r>
            <w:r w:rsidR="00A24F97">
              <w:rPr>
                <w:sz w:val="16"/>
                <w:szCs w:val="16"/>
              </w:rPr>
              <w:t xml:space="preserve"> por correo electrónico</w:t>
            </w:r>
            <w:r>
              <w:rPr>
                <w:sz w:val="16"/>
                <w:szCs w:val="16"/>
              </w:rPr>
              <w:t xml:space="preserve"> a los grupos de interés de las fechas para realizar las encuestas de satisfacción con el título.</w:t>
            </w:r>
            <w:r w:rsidRPr="004B4751">
              <w:rPr>
                <w:b/>
                <w:sz w:val="16"/>
                <w:szCs w:val="16"/>
              </w:rPr>
              <w:t xml:space="preserve"> </w:t>
            </w:r>
          </w:p>
        </w:tc>
      </w:tr>
    </w:tbl>
    <w:p w14:paraId="78848718"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0F3FA353" w14:textId="77777777" w:rsidR="00A721F4" w:rsidRPr="0086419B" w:rsidRDefault="00A721F4" w:rsidP="00823346">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86419B" w14:paraId="41B50DEB" w14:textId="77777777" w:rsidTr="00BB1529">
        <w:trPr>
          <w:jc w:val="center"/>
        </w:trPr>
        <w:tc>
          <w:tcPr>
            <w:tcW w:w="5000" w:type="pct"/>
            <w:shd w:val="clear" w:color="auto" w:fill="D9D9D9"/>
          </w:tcPr>
          <w:p w14:paraId="17696785" w14:textId="77777777" w:rsidR="00A721F4" w:rsidRPr="000C41E0" w:rsidRDefault="00FA1440" w:rsidP="00B416FA">
            <w:pPr>
              <w:pStyle w:val="Prrafodelista"/>
              <w:numPr>
                <w:ilvl w:val="0"/>
                <w:numId w:val="3"/>
              </w:numPr>
              <w:spacing w:before="60" w:after="60" w:line="240" w:lineRule="auto"/>
              <w:ind w:left="300" w:hanging="357"/>
              <w:contextualSpacing w:val="0"/>
              <w:rPr>
                <w:b/>
                <w:i/>
              </w:rPr>
            </w:pPr>
            <w:r>
              <w:rPr>
                <w:b/>
                <w:i/>
              </w:rPr>
              <w:t>DISEÑO, ORGANIZACIÓN Y DESARROLLO DEL PROGRAMA</w:t>
            </w:r>
          </w:p>
        </w:tc>
      </w:tr>
    </w:tbl>
    <w:p w14:paraId="59E3B77A" w14:textId="77777777" w:rsidR="00A721F4" w:rsidRDefault="00A721F4" w:rsidP="006A3AAA">
      <w:pPr>
        <w:spacing w:after="0"/>
      </w:pPr>
    </w:p>
    <w:p w14:paraId="1002ABA0" w14:textId="77777777" w:rsidR="009A03CA" w:rsidRPr="00BD7414" w:rsidRDefault="009A03CA" w:rsidP="009A03CA">
      <w:pPr>
        <w:spacing w:after="0" w:line="240" w:lineRule="auto"/>
        <w:jc w:val="both"/>
        <w:rPr>
          <w:rFonts w:asciiTheme="minorHAnsi" w:hAnsiTheme="minorHAnsi"/>
          <w:color w:val="FFFFFF"/>
        </w:rPr>
      </w:pPr>
      <w:r w:rsidRPr="00C71BAF">
        <w:rPr>
          <w:rFonts w:asciiTheme="minorHAnsi" w:hAnsiTheme="minorHAnsi"/>
          <w:b/>
          <w:i/>
        </w:rPr>
        <w:t>Análisis y Valoración:</w:t>
      </w:r>
    </w:p>
    <w:p w14:paraId="517EC69B" w14:textId="77777777" w:rsidR="009A03CA" w:rsidRPr="00A946E3" w:rsidRDefault="009A03CA" w:rsidP="009A03CA">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3536"/>
        <w:gridCol w:w="1792"/>
        <w:gridCol w:w="800"/>
        <w:gridCol w:w="739"/>
        <w:gridCol w:w="800"/>
        <w:gridCol w:w="800"/>
        <w:gridCol w:w="683"/>
      </w:tblGrid>
      <w:tr w:rsidR="00DA5A09" w:rsidRPr="001D093C" w14:paraId="2C9A3202" w14:textId="77777777" w:rsidTr="00195FB7">
        <w:trPr>
          <w:trHeight w:val="600"/>
        </w:trPr>
        <w:tc>
          <w:tcPr>
            <w:tcW w:w="2912"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07960BF8" w14:textId="77777777" w:rsidR="00DA5A09" w:rsidRPr="001D093C" w:rsidRDefault="00DA5A09" w:rsidP="00DA5A09">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(TITULO)</w:t>
            </w:r>
          </w:p>
        </w:tc>
        <w:tc>
          <w:tcPr>
            <w:tcW w:w="437" w:type="pct"/>
            <w:tcBorders>
              <w:top w:val="single" w:sz="4" w:space="0" w:color="000000"/>
              <w:left w:val="nil"/>
              <w:bottom w:val="nil"/>
              <w:right w:val="single" w:sz="4" w:space="0" w:color="000000"/>
            </w:tcBorders>
            <w:shd w:val="clear" w:color="000000" w:fill="244061"/>
            <w:vAlign w:val="center"/>
            <w:hideMark/>
          </w:tcPr>
          <w:p w14:paraId="2255CC89"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2016-17</w:t>
            </w:r>
          </w:p>
        </w:tc>
        <w:tc>
          <w:tcPr>
            <w:tcW w:w="404" w:type="pct"/>
            <w:tcBorders>
              <w:top w:val="single" w:sz="4" w:space="0" w:color="000000"/>
              <w:left w:val="nil"/>
              <w:bottom w:val="nil"/>
              <w:right w:val="single" w:sz="4" w:space="0" w:color="000000"/>
            </w:tcBorders>
            <w:shd w:val="clear" w:color="000000" w:fill="244061"/>
            <w:vAlign w:val="center"/>
            <w:hideMark/>
          </w:tcPr>
          <w:p w14:paraId="50947A63"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437" w:type="pct"/>
            <w:tcBorders>
              <w:top w:val="single" w:sz="4" w:space="0" w:color="000000"/>
              <w:left w:val="nil"/>
              <w:bottom w:val="nil"/>
              <w:right w:val="single" w:sz="4" w:space="0" w:color="000000"/>
            </w:tcBorders>
            <w:shd w:val="clear" w:color="000000" w:fill="244061"/>
            <w:vAlign w:val="center"/>
            <w:hideMark/>
          </w:tcPr>
          <w:p w14:paraId="6B2800E7"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437" w:type="pct"/>
            <w:tcBorders>
              <w:top w:val="single" w:sz="4" w:space="0" w:color="000000"/>
              <w:left w:val="nil"/>
              <w:bottom w:val="nil"/>
              <w:right w:val="single" w:sz="4" w:space="0" w:color="000000"/>
            </w:tcBorders>
            <w:shd w:val="clear" w:color="000000" w:fill="244061"/>
            <w:vAlign w:val="center"/>
            <w:hideMark/>
          </w:tcPr>
          <w:p w14:paraId="78B78F0E"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374" w:type="pct"/>
            <w:tcBorders>
              <w:top w:val="single" w:sz="4" w:space="0" w:color="000000"/>
              <w:left w:val="nil"/>
              <w:bottom w:val="nil"/>
              <w:right w:val="single" w:sz="4" w:space="0" w:color="000000"/>
            </w:tcBorders>
            <w:shd w:val="clear" w:color="000000" w:fill="244061"/>
            <w:vAlign w:val="center"/>
            <w:hideMark/>
          </w:tcPr>
          <w:p w14:paraId="34F81714"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B65108" w:rsidRPr="001D093C" w14:paraId="43799E84"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327D451A"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0AD0D02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74,91%</w:t>
            </w:r>
          </w:p>
        </w:tc>
        <w:tc>
          <w:tcPr>
            <w:tcW w:w="404" w:type="pct"/>
            <w:tcBorders>
              <w:top w:val="single" w:sz="4" w:space="0" w:color="auto"/>
              <w:left w:val="nil"/>
              <w:bottom w:val="single" w:sz="4" w:space="0" w:color="auto"/>
              <w:right w:val="single" w:sz="4" w:space="0" w:color="auto"/>
            </w:tcBorders>
            <w:shd w:val="clear" w:color="auto" w:fill="auto"/>
            <w:hideMark/>
          </w:tcPr>
          <w:p w14:paraId="07CD927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86%</w:t>
            </w:r>
          </w:p>
        </w:tc>
        <w:tc>
          <w:tcPr>
            <w:tcW w:w="437" w:type="pct"/>
            <w:tcBorders>
              <w:top w:val="single" w:sz="4" w:space="0" w:color="auto"/>
              <w:left w:val="nil"/>
              <w:bottom w:val="single" w:sz="4" w:space="0" w:color="auto"/>
              <w:right w:val="single" w:sz="4" w:space="0" w:color="auto"/>
            </w:tcBorders>
            <w:shd w:val="clear" w:color="auto" w:fill="auto"/>
            <w:hideMark/>
          </w:tcPr>
          <w:p w14:paraId="7478276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85,16%</w:t>
            </w:r>
          </w:p>
        </w:tc>
        <w:tc>
          <w:tcPr>
            <w:tcW w:w="437" w:type="pct"/>
            <w:tcBorders>
              <w:top w:val="single" w:sz="4" w:space="0" w:color="auto"/>
              <w:left w:val="nil"/>
              <w:bottom w:val="single" w:sz="4" w:space="0" w:color="auto"/>
              <w:right w:val="single" w:sz="4" w:space="0" w:color="auto"/>
            </w:tcBorders>
            <w:shd w:val="clear" w:color="auto" w:fill="auto"/>
            <w:hideMark/>
          </w:tcPr>
          <w:p w14:paraId="408CB49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88,97%</w:t>
            </w:r>
          </w:p>
        </w:tc>
        <w:tc>
          <w:tcPr>
            <w:tcW w:w="374" w:type="pct"/>
            <w:tcBorders>
              <w:top w:val="single" w:sz="4" w:space="0" w:color="auto"/>
              <w:left w:val="nil"/>
              <w:bottom w:val="single" w:sz="4" w:space="0" w:color="auto"/>
              <w:right w:val="single" w:sz="4" w:space="0" w:color="auto"/>
            </w:tcBorders>
            <w:shd w:val="clear" w:color="auto" w:fill="auto"/>
            <w:hideMark/>
          </w:tcPr>
          <w:p w14:paraId="70FA0AB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86,6%</w:t>
            </w:r>
          </w:p>
        </w:tc>
      </w:tr>
      <w:tr w:rsidR="00B65108" w:rsidRPr="001D093C" w14:paraId="76C70162"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2BC30300"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437" w:type="pct"/>
            <w:tcBorders>
              <w:top w:val="nil"/>
              <w:left w:val="single" w:sz="4" w:space="0" w:color="auto"/>
              <w:bottom w:val="single" w:sz="4" w:space="0" w:color="auto"/>
              <w:right w:val="single" w:sz="4" w:space="0" w:color="auto"/>
            </w:tcBorders>
            <w:shd w:val="clear" w:color="auto" w:fill="auto"/>
            <w:hideMark/>
          </w:tcPr>
          <w:p w14:paraId="7356D0B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100%</w:t>
            </w:r>
          </w:p>
        </w:tc>
        <w:tc>
          <w:tcPr>
            <w:tcW w:w="404" w:type="pct"/>
            <w:tcBorders>
              <w:top w:val="nil"/>
              <w:left w:val="nil"/>
              <w:bottom w:val="single" w:sz="4" w:space="0" w:color="auto"/>
              <w:right w:val="single" w:sz="4" w:space="0" w:color="auto"/>
            </w:tcBorders>
            <w:shd w:val="clear" w:color="auto" w:fill="auto"/>
            <w:hideMark/>
          </w:tcPr>
          <w:p w14:paraId="6491114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100%</w:t>
            </w:r>
          </w:p>
        </w:tc>
        <w:tc>
          <w:tcPr>
            <w:tcW w:w="437" w:type="pct"/>
            <w:tcBorders>
              <w:top w:val="nil"/>
              <w:left w:val="nil"/>
              <w:bottom w:val="single" w:sz="4" w:space="0" w:color="auto"/>
              <w:right w:val="single" w:sz="4" w:space="0" w:color="auto"/>
            </w:tcBorders>
            <w:shd w:val="clear" w:color="auto" w:fill="auto"/>
            <w:hideMark/>
          </w:tcPr>
          <w:p w14:paraId="2C4FEDA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99,6%</w:t>
            </w:r>
          </w:p>
        </w:tc>
        <w:tc>
          <w:tcPr>
            <w:tcW w:w="437" w:type="pct"/>
            <w:tcBorders>
              <w:top w:val="nil"/>
              <w:left w:val="nil"/>
              <w:bottom w:val="single" w:sz="4" w:space="0" w:color="auto"/>
              <w:right w:val="single" w:sz="4" w:space="0" w:color="auto"/>
            </w:tcBorders>
            <w:shd w:val="clear" w:color="auto" w:fill="auto"/>
            <w:hideMark/>
          </w:tcPr>
          <w:p w14:paraId="115D60B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100%</w:t>
            </w:r>
          </w:p>
        </w:tc>
        <w:tc>
          <w:tcPr>
            <w:tcW w:w="374" w:type="pct"/>
            <w:tcBorders>
              <w:top w:val="nil"/>
              <w:left w:val="nil"/>
              <w:bottom w:val="single" w:sz="4" w:space="0" w:color="auto"/>
              <w:right w:val="single" w:sz="4" w:space="0" w:color="auto"/>
            </w:tcBorders>
            <w:shd w:val="clear" w:color="auto" w:fill="auto"/>
            <w:hideMark/>
          </w:tcPr>
          <w:p w14:paraId="4652EFD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sz w:val="16"/>
                <w:szCs w:val="16"/>
              </w:rPr>
              <w:t>100%</w:t>
            </w:r>
          </w:p>
        </w:tc>
      </w:tr>
      <w:tr w:rsidR="00B65108" w:rsidRPr="001D093C" w14:paraId="526C76B3"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4B8D1259"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7E05C30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74,91%</w:t>
            </w:r>
          </w:p>
        </w:tc>
        <w:tc>
          <w:tcPr>
            <w:tcW w:w="404" w:type="pct"/>
            <w:tcBorders>
              <w:top w:val="nil"/>
              <w:left w:val="nil"/>
              <w:bottom w:val="single" w:sz="4" w:space="0" w:color="auto"/>
              <w:right w:val="single" w:sz="4" w:space="0" w:color="auto"/>
            </w:tcBorders>
            <w:shd w:val="clear" w:color="auto" w:fill="auto"/>
            <w:vAlign w:val="center"/>
            <w:hideMark/>
          </w:tcPr>
          <w:p w14:paraId="3E172C65"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86%</w:t>
            </w:r>
          </w:p>
        </w:tc>
        <w:tc>
          <w:tcPr>
            <w:tcW w:w="437" w:type="pct"/>
            <w:tcBorders>
              <w:top w:val="nil"/>
              <w:left w:val="nil"/>
              <w:bottom w:val="single" w:sz="4" w:space="0" w:color="auto"/>
              <w:right w:val="single" w:sz="4" w:space="0" w:color="auto"/>
            </w:tcBorders>
            <w:shd w:val="clear" w:color="auto" w:fill="auto"/>
            <w:vAlign w:val="center"/>
            <w:hideMark/>
          </w:tcPr>
          <w:p w14:paraId="1A0F048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85,51%</w:t>
            </w:r>
          </w:p>
        </w:tc>
        <w:tc>
          <w:tcPr>
            <w:tcW w:w="437" w:type="pct"/>
            <w:tcBorders>
              <w:top w:val="nil"/>
              <w:left w:val="nil"/>
              <w:bottom w:val="single" w:sz="4" w:space="0" w:color="auto"/>
              <w:right w:val="single" w:sz="4" w:space="0" w:color="auto"/>
            </w:tcBorders>
            <w:shd w:val="clear" w:color="auto" w:fill="auto"/>
            <w:vAlign w:val="center"/>
            <w:hideMark/>
          </w:tcPr>
          <w:p w14:paraId="4D2D366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88,97%</w:t>
            </w:r>
          </w:p>
        </w:tc>
        <w:tc>
          <w:tcPr>
            <w:tcW w:w="374" w:type="pct"/>
            <w:tcBorders>
              <w:top w:val="nil"/>
              <w:left w:val="nil"/>
              <w:bottom w:val="single" w:sz="4" w:space="0" w:color="auto"/>
              <w:right w:val="single" w:sz="4" w:space="0" w:color="auto"/>
            </w:tcBorders>
            <w:shd w:val="clear" w:color="auto" w:fill="auto"/>
            <w:vAlign w:val="center"/>
            <w:hideMark/>
          </w:tcPr>
          <w:p w14:paraId="5A8C462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86,6%</w:t>
            </w:r>
          </w:p>
        </w:tc>
      </w:tr>
      <w:tr w:rsidR="00B65108" w:rsidRPr="001D093C" w14:paraId="0B87F39B"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261288C5"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3015BBF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3,4%</w:t>
            </w:r>
          </w:p>
        </w:tc>
        <w:tc>
          <w:tcPr>
            <w:tcW w:w="404" w:type="pct"/>
            <w:tcBorders>
              <w:top w:val="nil"/>
              <w:left w:val="nil"/>
              <w:bottom w:val="single" w:sz="4" w:space="0" w:color="auto"/>
              <w:right w:val="single" w:sz="4" w:space="0" w:color="auto"/>
            </w:tcBorders>
            <w:shd w:val="clear" w:color="auto" w:fill="auto"/>
            <w:vAlign w:val="center"/>
            <w:hideMark/>
          </w:tcPr>
          <w:p w14:paraId="4CD7E63D"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0%</w:t>
            </w:r>
          </w:p>
        </w:tc>
        <w:tc>
          <w:tcPr>
            <w:tcW w:w="437" w:type="pct"/>
            <w:tcBorders>
              <w:top w:val="nil"/>
              <w:left w:val="nil"/>
              <w:bottom w:val="single" w:sz="4" w:space="0" w:color="auto"/>
              <w:right w:val="single" w:sz="4" w:space="0" w:color="auto"/>
            </w:tcBorders>
            <w:shd w:val="clear" w:color="auto" w:fill="auto"/>
            <w:vAlign w:val="center"/>
            <w:hideMark/>
          </w:tcPr>
          <w:p w14:paraId="11A89C4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5,56%</w:t>
            </w:r>
          </w:p>
        </w:tc>
        <w:tc>
          <w:tcPr>
            <w:tcW w:w="437" w:type="pct"/>
            <w:tcBorders>
              <w:top w:val="nil"/>
              <w:left w:val="nil"/>
              <w:bottom w:val="single" w:sz="4" w:space="0" w:color="auto"/>
              <w:right w:val="single" w:sz="4" w:space="0" w:color="auto"/>
            </w:tcBorders>
            <w:shd w:val="clear" w:color="auto" w:fill="auto"/>
            <w:vAlign w:val="center"/>
            <w:hideMark/>
          </w:tcPr>
          <w:p w14:paraId="0C7F719D"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0%</w:t>
            </w:r>
          </w:p>
        </w:tc>
        <w:tc>
          <w:tcPr>
            <w:tcW w:w="374" w:type="pct"/>
            <w:tcBorders>
              <w:top w:val="nil"/>
              <w:left w:val="nil"/>
              <w:bottom w:val="single" w:sz="4" w:space="0" w:color="auto"/>
              <w:right w:val="single" w:sz="4" w:space="0" w:color="auto"/>
            </w:tcBorders>
            <w:shd w:val="clear" w:color="auto" w:fill="auto"/>
            <w:vAlign w:val="center"/>
            <w:hideMark/>
          </w:tcPr>
          <w:p w14:paraId="10363B2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6,3%</w:t>
            </w:r>
          </w:p>
        </w:tc>
      </w:tr>
      <w:tr w:rsidR="00B65108" w:rsidRPr="001D093C" w14:paraId="78D2E068"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799929C4"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03E447B5"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679F95D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64,29%</w:t>
            </w:r>
          </w:p>
        </w:tc>
        <w:tc>
          <w:tcPr>
            <w:tcW w:w="437" w:type="pct"/>
            <w:tcBorders>
              <w:top w:val="nil"/>
              <w:left w:val="nil"/>
              <w:bottom w:val="single" w:sz="4" w:space="0" w:color="auto"/>
              <w:right w:val="single" w:sz="4" w:space="0" w:color="auto"/>
            </w:tcBorders>
            <w:shd w:val="clear" w:color="auto" w:fill="auto"/>
            <w:vAlign w:val="center"/>
            <w:hideMark/>
          </w:tcPr>
          <w:p w14:paraId="70441D9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50%</w:t>
            </w:r>
          </w:p>
        </w:tc>
        <w:tc>
          <w:tcPr>
            <w:tcW w:w="437" w:type="pct"/>
            <w:tcBorders>
              <w:top w:val="nil"/>
              <w:left w:val="nil"/>
              <w:bottom w:val="single" w:sz="4" w:space="0" w:color="auto"/>
              <w:right w:val="single" w:sz="4" w:space="0" w:color="auto"/>
            </w:tcBorders>
            <w:shd w:val="clear" w:color="auto" w:fill="auto"/>
            <w:vAlign w:val="center"/>
            <w:hideMark/>
          </w:tcPr>
          <w:p w14:paraId="0030047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66,37%</w:t>
            </w:r>
          </w:p>
        </w:tc>
        <w:tc>
          <w:tcPr>
            <w:tcW w:w="374" w:type="pct"/>
            <w:tcBorders>
              <w:top w:val="nil"/>
              <w:left w:val="nil"/>
              <w:bottom w:val="single" w:sz="4" w:space="0" w:color="auto"/>
              <w:right w:val="single" w:sz="4" w:space="0" w:color="auto"/>
            </w:tcBorders>
            <w:shd w:val="clear" w:color="auto" w:fill="auto"/>
            <w:vAlign w:val="center"/>
            <w:hideMark/>
          </w:tcPr>
          <w:p w14:paraId="4D27541E"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53,1%</w:t>
            </w:r>
          </w:p>
        </w:tc>
      </w:tr>
      <w:tr w:rsidR="00B65108" w:rsidRPr="001D093C" w14:paraId="6ED115C7"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4CF7F861"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6000922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99%</w:t>
            </w:r>
          </w:p>
        </w:tc>
        <w:tc>
          <w:tcPr>
            <w:tcW w:w="404" w:type="pct"/>
            <w:tcBorders>
              <w:top w:val="nil"/>
              <w:left w:val="nil"/>
              <w:bottom w:val="single" w:sz="4" w:space="0" w:color="auto"/>
              <w:right w:val="single" w:sz="4" w:space="0" w:color="auto"/>
            </w:tcBorders>
            <w:shd w:val="clear" w:color="auto" w:fill="auto"/>
            <w:vAlign w:val="center"/>
            <w:hideMark/>
          </w:tcPr>
          <w:p w14:paraId="10F3D81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87,84%</w:t>
            </w:r>
          </w:p>
        </w:tc>
        <w:tc>
          <w:tcPr>
            <w:tcW w:w="437" w:type="pct"/>
            <w:tcBorders>
              <w:top w:val="nil"/>
              <w:left w:val="nil"/>
              <w:bottom w:val="single" w:sz="4" w:space="0" w:color="auto"/>
              <w:right w:val="single" w:sz="4" w:space="0" w:color="auto"/>
            </w:tcBorders>
            <w:shd w:val="clear" w:color="auto" w:fill="auto"/>
            <w:vAlign w:val="center"/>
            <w:hideMark/>
          </w:tcPr>
          <w:p w14:paraId="75B659E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91,17%</w:t>
            </w:r>
          </w:p>
        </w:tc>
        <w:tc>
          <w:tcPr>
            <w:tcW w:w="437" w:type="pct"/>
            <w:tcBorders>
              <w:top w:val="nil"/>
              <w:left w:val="nil"/>
              <w:bottom w:val="single" w:sz="4" w:space="0" w:color="auto"/>
              <w:right w:val="single" w:sz="4" w:space="0" w:color="auto"/>
            </w:tcBorders>
            <w:shd w:val="clear" w:color="auto" w:fill="auto"/>
            <w:vAlign w:val="center"/>
            <w:hideMark/>
          </w:tcPr>
          <w:p w14:paraId="6FA3C17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89,02%</w:t>
            </w:r>
          </w:p>
        </w:tc>
        <w:tc>
          <w:tcPr>
            <w:tcW w:w="374" w:type="pct"/>
            <w:tcBorders>
              <w:top w:val="nil"/>
              <w:left w:val="nil"/>
              <w:bottom w:val="single" w:sz="4" w:space="0" w:color="auto"/>
              <w:right w:val="single" w:sz="4" w:space="0" w:color="auto"/>
            </w:tcBorders>
            <w:shd w:val="clear" w:color="auto" w:fill="auto"/>
            <w:vAlign w:val="center"/>
            <w:hideMark/>
          </w:tcPr>
          <w:p w14:paraId="7840F3A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93,1%</w:t>
            </w:r>
          </w:p>
        </w:tc>
      </w:tr>
      <w:tr w:rsidR="00B65108" w:rsidRPr="001D093C" w14:paraId="244F7B8B" w14:textId="77777777" w:rsidTr="00195FB7">
        <w:trPr>
          <w:trHeight w:val="288"/>
        </w:trPr>
        <w:tc>
          <w:tcPr>
            <w:tcW w:w="1933" w:type="pct"/>
            <w:tcBorders>
              <w:top w:val="nil"/>
              <w:left w:val="nil"/>
              <w:bottom w:val="single" w:sz="4" w:space="0" w:color="000000"/>
              <w:right w:val="nil"/>
            </w:tcBorders>
            <w:shd w:val="clear" w:color="000000" w:fill="CCCCCC"/>
            <w:vAlign w:val="center"/>
            <w:hideMark/>
          </w:tcPr>
          <w:p w14:paraId="663D5CB7"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979" w:type="pct"/>
            <w:tcBorders>
              <w:top w:val="nil"/>
              <w:left w:val="nil"/>
              <w:bottom w:val="single" w:sz="4" w:space="0" w:color="000000"/>
              <w:right w:val="nil"/>
            </w:tcBorders>
            <w:shd w:val="clear" w:color="000000" w:fill="CCCCCC"/>
            <w:vAlign w:val="center"/>
            <w:hideMark/>
          </w:tcPr>
          <w:p w14:paraId="5B1AC832" w14:textId="77777777" w:rsidR="00B65108" w:rsidRPr="001D093C" w:rsidRDefault="00B65108" w:rsidP="00B65108">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2D7F1FB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w:t>
            </w:r>
          </w:p>
        </w:tc>
        <w:tc>
          <w:tcPr>
            <w:tcW w:w="404" w:type="pct"/>
            <w:tcBorders>
              <w:top w:val="nil"/>
              <w:left w:val="nil"/>
              <w:bottom w:val="single" w:sz="4" w:space="0" w:color="auto"/>
              <w:right w:val="single" w:sz="4" w:space="0" w:color="auto"/>
            </w:tcBorders>
            <w:shd w:val="clear" w:color="auto" w:fill="auto"/>
            <w:vAlign w:val="center"/>
            <w:hideMark/>
          </w:tcPr>
          <w:p w14:paraId="00EFE15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1,63</w:t>
            </w:r>
          </w:p>
        </w:tc>
        <w:tc>
          <w:tcPr>
            <w:tcW w:w="437" w:type="pct"/>
            <w:tcBorders>
              <w:top w:val="nil"/>
              <w:left w:val="nil"/>
              <w:bottom w:val="single" w:sz="4" w:space="0" w:color="auto"/>
              <w:right w:val="single" w:sz="4" w:space="0" w:color="auto"/>
            </w:tcBorders>
            <w:shd w:val="clear" w:color="auto" w:fill="auto"/>
            <w:vAlign w:val="center"/>
            <w:hideMark/>
          </w:tcPr>
          <w:p w14:paraId="0DA4426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1,41</w:t>
            </w:r>
          </w:p>
        </w:tc>
        <w:tc>
          <w:tcPr>
            <w:tcW w:w="437" w:type="pct"/>
            <w:tcBorders>
              <w:top w:val="nil"/>
              <w:left w:val="nil"/>
              <w:bottom w:val="single" w:sz="4" w:space="0" w:color="auto"/>
              <w:right w:val="single" w:sz="4" w:space="0" w:color="auto"/>
            </w:tcBorders>
            <w:shd w:val="clear" w:color="auto" w:fill="auto"/>
            <w:vAlign w:val="center"/>
            <w:hideMark/>
          </w:tcPr>
          <w:p w14:paraId="7194896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1,48</w:t>
            </w:r>
          </w:p>
        </w:tc>
        <w:tc>
          <w:tcPr>
            <w:tcW w:w="374" w:type="pct"/>
            <w:tcBorders>
              <w:top w:val="nil"/>
              <w:left w:val="nil"/>
              <w:bottom w:val="single" w:sz="4" w:space="0" w:color="auto"/>
              <w:right w:val="single" w:sz="4" w:space="0" w:color="auto"/>
            </w:tcBorders>
            <w:shd w:val="clear" w:color="auto" w:fill="auto"/>
            <w:vAlign w:val="center"/>
            <w:hideMark/>
          </w:tcPr>
          <w:p w14:paraId="6A679F1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1,3</w:t>
            </w:r>
          </w:p>
        </w:tc>
      </w:tr>
      <w:tr w:rsidR="00B65108" w:rsidRPr="001D093C" w14:paraId="4FA79951" w14:textId="77777777" w:rsidTr="00195FB7">
        <w:trPr>
          <w:trHeight w:val="600"/>
        </w:trPr>
        <w:tc>
          <w:tcPr>
            <w:tcW w:w="2912" w:type="pct"/>
            <w:gridSpan w:val="2"/>
            <w:tcBorders>
              <w:top w:val="nil"/>
              <w:left w:val="nil"/>
              <w:bottom w:val="single" w:sz="4" w:space="0" w:color="000000"/>
              <w:right w:val="nil"/>
            </w:tcBorders>
            <w:shd w:val="clear" w:color="000000" w:fill="CCCCCC"/>
            <w:vAlign w:val="center"/>
            <w:hideMark/>
          </w:tcPr>
          <w:p w14:paraId="184347D5"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6827830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4EDA9CC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33BD541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014FA90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6813837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w:t>
            </w:r>
          </w:p>
        </w:tc>
      </w:tr>
      <w:tr w:rsidR="00B65108" w:rsidRPr="001D093C" w14:paraId="138CEB47" w14:textId="77777777" w:rsidTr="00195FB7">
        <w:trPr>
          <w:trHeight w:val="288"/>
        </w:trPr>
        <w:tc>
          <w:tcPr>
            <w:tcW w:w="1933" w:type="pct"/>
            <w:vMerge w:val="restart"/>
            <w:tcBorders>
              <w:top w:val="nil"/>
              <w:left w:val="nil"/>
              <w:bottom w:val="single" w:sz="4" w:space="0" w:color="000000"/>
              <w:right w:val="single" w:sz="4" w:space="0" w:color="000000"/>
            </w:tcBorders>
            <w:shd w:val="clear" w:color="000000" w:fill="CCCCCC"/>
            <w:vAlign w:val="center"/>
            <w:hideMark/>
          </w:tcPr>
          <w:p w14:paraId="6BB18DFE"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979" w:type="pct"/>
            <w:tcBorders>
              <w:top w:val="nil"/>
              <w:left w:val="nil"/>
              <w:bottom w:val="single" w:sz="4" w:space="0" w:color="000000"/>
              <w:right w:val="nil"/>
            </w:tcBorders>
            <w:shd w:val="clear" w:color="000000" w:fill="CCCCCC"/>
            <w:vAlign w:val="center"/>
            <w:hideMark/>
          </w:tcPr>
          <w:p w14:paraId="15A133C0" w14:textId="77777777" w:rsidR="00B65108" w:rsidRPr="001D093C" w:rsidRDefault="00B65108" w:rsidP="00B65108">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internacional</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644B049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2CFB3B3E"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1,67%</w:t>
            </w:r>
          </w:p>
        </w:tc>
        <w:tc>
          <w:tcPr>
            <w:tcW w:w="437" w:type="pct"/>
            <w:tcBorders>
              <w:top w:val="nil"/>
              <w:left w:val="nil"/>
              <w:bottom w:val="single" w:sz="4" w:space="0" w:color="auto"/>
              <w:right w:val="single" w:sz="4" w:space="0" w:color="auto"/>
            </w:tcBorders>
            <w:shd w:val="clear" w:color="auto" w:fill="auto"/>
            <w:vAlign w:val="center"/>
            <w:hideMark/>
          </w:tcPr>
          <w:p w14:paraId="3D1C8A1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5,77%</w:t>
            </w:r>
          </w:p>
        </w:tc>
        <w:tc>
          <w:tcPr>
            <w:tcW w:w="437" w:type="pct"/>
            <w:tcBorders>
              <w:top w:val="nil"/>
              <w:left w:val="nil"/>
              <w:bottom w:val="single" w:sz="4" w:space="0" w:color="auto"/>
              <w:right w:val="single" w:sz="4" w:space="0" w:color="auto"/>
            </w:tcBorders>
            <w:shd w:val="clear" w:color="auto" w:fill="auto"/>
            <w:vAlign w:val="center"/>
            <w:hideMark/>
          </w:tcPr>
          <w:p w14:paraId="0AE9B87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43579F7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r>
      <w:tr w:rsidR="00B65108" w:rsidRPr="001D093C" w14:paraId="33ADD374" w14:textId="77777777" w:rsidTr="00195FB7">
        <w:trPr>
          <w:trHeight w:val="288"/>
        </w:trPr>
        <w:tc>
          <w:tcPr>
            <w:tcW w:w="1933" w:type="pct"/>
            <w:vMerge/>
            <w:tcBorders>
              <w:top w:val="nil"/>
              <w:left w:val="nil"/>
              <w:bottom w:val="single" w:sz="4" w:space="0" w:color="000000"/>
              <w:right w:val="single" w:sz="4" w:space="0" w:color="000000"/>
            </w:tcBorders>
            <w:vAlign w:val="center"/>
            <w:hideMark/>
          </w:tcPr>
          <w:p w14:paraId="202AB6DF"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p>
        </w:tc>
        <w:tc>
          <w:tcPr>
            <w:tcW w:w="979" w:type="pct"/>
            <w:tcBorders>
              <w:top w:val="nil"/>
              <w:left w:val="nil"/>
              <w:bottom w:val="single" w:sz="4" w:space="0" w:color="000000"/>
              <w:right w:val="nil"/>
            </w:tcBorders>
            <w:shd w:val="clear" w:color="000000" w:fill="CCCCCC"/>
            <w:vAlign w:val="center"/>
            <w:hideMark/>
          </w:tcPr>
          <w:p w14:paraId="21B645B5" w14:textId="77777777" w:rsidR="00B65108" w:rsidRPr="001D093C" w:rsidRDefault="00B65108" w:rsidP="00B65108">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nacional</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689CE92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66AA349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2AAF9AF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2DD9762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0A95E63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r>
      <w:tr w:rsidR="00B65108" w:rsidRPr="001D093C" w14:paraId="7B2FA81C" w14:textId="77777777" w:rsidTr="00195FB7">
        <w:trPr>
          <w:trHeight w:val="288"/>
        </w:trPr>
        <w:tc>
          <w:tcPr>
            <w:tcW w:w="1933" w:type="pct"/>
            <w:vMerge/>
            <w:tcBorders>
              <w:top w:val="nil"/>
              <w:left w:val="nil"/>
              <w:bottom w:val="single" w:sz="4" w:space="0" w:color="000000"/>
              <w:right w:val="single" w:sz="4" w:space="0" w:color="000000"/>
            </w:tcBorders>
            <w:vAlign w:val="center"/>
            <w:hideMark/>
          </w:tcPr>
          <w:p w14:paraId="2E95CC34"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p>
        </w:tc>
        <w:tc>
          <w:tcPr>
            <w:tcW w:w="979" w:type="pct"/>
            <w:tcBorders>
              <w:top w:val="nil"/>
              <w:left w:val="nil"/>
              <w:bottom w:val="single" w:sz="4" w:space="0" w:color="000000"/>
              <w:right w:val="nil"/>
            </w:tcBorders>
            <w:shd w:val="clear" w:color="000000" w:fill="CCCCCC"/>
            <w:vAlign w:val="center"/>
            <w:hideMark/>
          </w:tcPr>
          <w:p w14:paraId="43C7B02C" w14:textId="77777777" w:rsidR="00B65108" w:rsidRPr="001D093C" w:rsidRDefault="00B65108" w:rsidP="00B65108">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internacional</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5EBE542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46B084DD"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7CE5DA7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18F9F7D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48A4F3F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r>
      <w:tr w:rsidR="00B65108" w:rsidRPr="001D093C" w14:paraId="1BAAF91D" w14:textId="77777777" w:rsidTr="00195FB7">
        <w:trPr>
          <w:trHeight w:val="288"/>
        </w:trPr>
        <w:tc>
          <w:tcPr>
            <w:tcW w:w="1933" w:type="pct"/>
            <w:vMerge/>
            <w:tcBorders>
              <w:top w:val="nil"/>
              <w:left w:val="nil"/>
              <w:bottom w:val="single" w:sz="4" w:space="0" w:color="000000"/>
              <w:right w:val="single" w:sz="4" w:space="0" w:color="000000"/>
            </w:tcBorders>
            <w:vAlign w:val="center"/>
            <w:hideMark/>
          </w:tcPr>
          <w:p w14:paraId="6E513D85"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p>
        </w:tc>
        <w:tc>
          <w:tcPr>
            <w:tcW w:w="979" w:type="pct"/>
            <w:tcBorders>
              <w:top w:val="nil"/>
              <w:left w:val="nil"/>
              <w:bottom w:val="single" w:sz="4" w:space="0" w:color="000000"/>
              <w:right w:val="nil"/>
            </w:tcBorders>
            <w:shd w:val="clear" w:color="000000" w:fill="CCCCCC"/>
            <w:vAlign w:val="center"/>
            <w:hideMark/>
          </w:tcPr>
          <w:p w14:paraId="3DB20131" w14:textId="77777777" w:rsidR="00B65108" w:rsidRPr="001D093C" w:rsidRDefault="00B65108" w:rsidP="00B65108">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nacional</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70E4819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094CD1C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6317A6A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37" w:type="pct"/>
            <w:tcBorders>
              <w:top w:val="nil"/>
              <w:left w:val="nil"/>
              <w:bottom w:val="single" w:sz="4" w:space="0" w:color="auto"/>
              <w:right w:val="single" w:sz="4" w:space="0" w:color="auto"/>
            </w:tcBorders>
            <w:shd w:val="clear" w:color="auto" w:fill="auto"/>
            <w:vAlign w:val="center"/>
            <w:hideMark/>
          </w:tcPr>
          <w:p w14:paraId="1D61A18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457E5C6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r>
      <w:tr w:rsidR="00B65108" w:rsidRPr="001D093C" w14:paraId="103447E9" w14:textId="77777777" w:rsidTr="00195FB7">
        <w:trPr>
          <w:trHeight w:val="384"/>
        </w:trPr>
        <w:tc>
          <w:tcPr>
            <w:tcW w:w="2912" w:type="pct"/>
            <w:gridSpan w:val="2"/>
            <w:tcBorders>
              <w:top w:val="nil"/>
              <w:left w:val="nil"/>
              <w:bottom w:val="single" w:sz="4" w:space="0" w:color="000000"/>
              <w:right w:val="nil"/>
            </w:tcBorders>
            <w:shd w:val="clear" w:color="000000" w:fill="CCCCCC"/>
            <w:vAlign w:val="center"/>
            <w:hideMark/>
          </w:tcPr>
          <w:p w14:paraId="09239B64"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360CF43D"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3,11</w:t>
            </w:r>
          </w:p>
        </w:tc>
        <w:tc>
          <w:tcPr>
            <w:tcW w:w="404" w:type="pct"/>
            <w:tcBorders>
              <w:top w:val="nil"/>
              <w:left w:val="nil"/>
              <w:bottom w:val="single" w:sz="4" w:space="0" w:color="auto"/>
              <w:right w:val="single" w:sz="4" w:space="0" w:color="auto"/>
            </w:tcBorders>
            <w:shd w:val="clear" w:color="auto" w:fill="auto"/>
            <w:vAlign w:val="center"/>
            <w:hideMark/>
          </w:tcPr>
          <w:p w14:paraId="2A02A8B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2,67</w:t>
            </w:r>
          </w:p>
        </w:tc>
        <w:tc>
          <w:tcPr>
            <w:tcW w:w="437" w:type="pct"/>
            <w:tcBorders>
              <w:top w:val="nil"/>
              <w:left w:val="nil"/>
              <w:bottom w:val="single" w:sz="4" w:space="0" w:color="auto"/>
              <w:right w:val="single" w:sz="4" w:space="0" w:color="auto"/>
            </w:tcBorders>
            <w:shd w:val="clear" w:color="auto" w:fill="auto"/>
            <w:vAlign w:val="center"/>
            <w:hideMark/>
          </w:tcPr>
          <w:p w14:paraId="4310600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2,08</w:t>
            </w:r>
          </w:p>
        </w:tc>
        <w:tc>
          <w:tcPr>
            <w:tcW w:w="437" w:type="pct"/>
            <w:tcBorders>
              <w:top w:val="nil"/>
              <w:left w:val="nil"/>
              <w:bottom w:val="single" w:sz="4" w:space="0" w:color="auto"/>
              <w:right w:val="single" w:sz="4" w:space="0" w:color="auto"/>
            </w:tcBorders>
            <w:shd w:val="clear" w:color="auto" w:fill="auto"/>
            <w:vAlign w:val="center"/>
            <w:hideMark/>
          </w:tcPr>
          <w:p w14:paraId="6640F90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659E97D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3,5</w:t>
            </w:r>
          </w:p>
        </w:tc>
      </w:tr>
      <w:tr w:rsidR="00B65108" w:rsidRPr="001D093C" w14:paraId="51F09DAA" w14:textId="77777777" w:rsidTr="00195FB7">
        <w:trPr>
          <w:trHeight w:val="456"/>
        </w:trPr>
        <w:tc>
          <w:tcPr>
            <w:tcW w:w="2912" w:type="pct"/>
            <w:gridSpan w:val="2"/>
            <w:tcBorders>
              <w:top w:val="nil"/>
              <w:left w:val="nil"/>
              <w:bottom w:val="single" w:sz="4" w:space="0" w:color="000000"/>
              <w:right w:val="nil"/>
            </w:tcBorders>
            <w:shd w:val="clear" w:color="000000" w:fill="CCCCCC"/>
            <w:vAlign w:val="center"/>
            <w:hideMark/>
          </w:tcPr>
          <w:p w14:paraId="40B77496"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59006825"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2,67</w:t>
            </w:r>
          </w:p>
        </w:tc>
        <w:tc>
          <w:tcPr>
            <w:tcW w:w="404" w:type="pct"/>
            <w:tcBorders>
              <w:top w:val="nil"/>
              <w:left w:val="nil"/>
              <w:bottom w:val="single" w:sz="4" w:space="0" w:color="auto"/>
              <w:right w:val="single" w:sz="4" w:space="0" w:color="auto"/>
            </w:tcBorders>
            <w:shd w:val="clear" w:color="auto" w:fill="auto"/>
            <w:vAlign w:val="center"/>
            <w:hideMark/>
          </w:tcPr>
          <w:p w14:paraId="7FA8427B"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w:t>
            </w:r>
          </w:p>
        </w:tc>
        <w:tc>
          <w:tcPr>
            <w:tcW w:w="437" w:type="pct"/>
            <w:tcBorders>
              <w:top w:val="nil"/>
              <w:left w:val="nil"/>
              <w:bottom w:val="single" w:sz="4" w:space="0" w:color="auto"/>
              <w:right w:val="single" w:sz="4" w:space="0" w:color="auto"/>
            </w:tcBorders>
            <w:shd w:val="clear" w:color="auto" w:fill="auto"/>
            <w:vAlign w:val="center"/>
            <w:hideMark/>
          </w:tcPr>
          <w:p w14:paraId="750B703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w:t>
            </w:r>
          </w:p>
        </w:tc>
        <w:tc>
          <w:tcPr>
            <w:tcW w:w="437" w:type="pct"/>
            <w:tcBorders>
              <w:top w:val="nil"/>
              <w:left w:val="nil"/>
              <w:bottom w:val="single" w:sz="4" w:space="0" w:color="auto"/>
              <w:right w:val="single" w:sz="4" w:space="0" w:color="auto"/>
            </w:tcBorders>
            <w:shd w:val="clear" w:color="auto" w:fill="auto"/>
            <w:vAlign w:val="center"/>
            <w:hideMark/>
          </w:tcPr>
          <w:p w14:paraId="52DD518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0F8DE75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3,13</w:t>
            </w:r>
          </w:p>
        </w:tc>
      </w:tr>
      <w:tr w:rsidR="00B65108" w:rsidRPr="001D093C" w14:paraId="7C898DD0" w14:textId="77777777" w:rsidTr="00195FB7">
        <w:trPr>
          <w:trHeight w:val="684"/>
        </w:trPr>
        <w:tc>
          <w:tcPr>
            <w:tcW w:w="2912" w:type="pct"/>
            <w:gridSpan w:val="2"/>
            <w:tcBorders>
              <w:top w:val="nil"/>
              <w:left w:val="nil"/>
              <w:bottom w:val="single" w:sz="4" w:space="0" w:color="000000"/>
              <w:right w:val="nil"/>
            </w:tcBorders>
            <w:shd w:val="clear" w:color="000000" w:fill="CCCCCC"/>
            <w:vAlign w:val="center"/>
            <w:hideMark/>
          </w:tcPr>
          <w:p w14:paraId="16DD7148"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484F878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4,6</w:t>
            </w:r>
          </w:p>
        </w:tc>
        <w:tc>
          <w:tcPr>
            <w:tcW w:w="404" w:type="pct"/>
            <w:tcBorders>
              <w:top w:val="nil"/>
              <w:left w:val="nil"/>
              <w:bottom w:val="single" w:sz="4" w:space="0" w:color="auto"/>
              <w:right w:val="single" w:sz="4" w:space="0" w:color="auto"/>
            </w:tcBorders>
            <w:shd w:val="clear" w:color="auto" w:fill="auto"/>
            <w:vAlign w:val="center"/>
            <w:hideMark/>
          </w:tcPr>
          <w:p w14:paraId="2E105FD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4,58</w:t>
            </w:r>
          </w:p>
        </w:tc>
        <w:tc>
          <w:tcPr>
            <w:tcW w:w="437" w:type="pct"/>
            <w:tcBorders>
              <w:top w:val="nil"/>
              <w:left w:val="nil"/>
              <w:bottom w:val="single" w:sz="4" w:space="0" w:color="auto"/>
              <w:right w:val="single" w:sz="4" w:space="0" w:color="auto"/>
            </w:tcBorders>
            <w:shd w:val="clear" w:color="auto" w:fill="auto"/>
            <w:vAlign w:val="center"/>
            <w:hideMark/>
          </w:tcPr>
          <w:p w14:paraId="45390A8D"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1,86</w:t>
            </w:r>
          </w:p>
        </w:tc>
        <w:tc>
          <w:tcPr>
            <w:tcW w:w="437" w:type="pct"/>
            <w:tcBorders>
              <w:top w:val="nil"/>
              <w:left w:val="nil"/>
              <w:bottom w:val="single" w:sz="4" w:space="0" w:color="auto"/>
              <w:right w:val="single" w:sz="4" w:space="0" w:color="auto"/>
            </w:tcBorders>
            <w:shd w:val="clear" w:color="auto" w:fill="auto"/>
            <w:vAlign w:val="center"/>
            <w:hideMark/>
          </w:tcPr>
          <w:p w14:paraId="3856A87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6F892CD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4,4</w:t>
            </w:r>
          </w:p>
        </w:tc>
      </w:tr>
      <w:tr w:rsidR="00B65108" w:rsidRPr="001D093C" w14:paraId="475CB08E" w14:textId="77777777" w:rsidTr="00195FB7">
        <w:trPr>
          <w:trHeight w:val="600"/>
        </w:trPr>
        <w:tc>
          <w:tcPr>
            <w:tcW w:w="2912" w:type="pct"/>
            <w:gridSpan w:val="2"/>
            <w:tcBorders>
              <w:top w:val="nil"/>
              <w:left w:val="nil"/>
              <w:bottom w:val="single" w:sz="4" w:space="0" w:color="000000"/>
              <w:right w:val="nil"/>
            </w:tcBorders>
            <w:shd w:val="clear" w:color="000000" w:fill="CCCCCC"/>
            <w:vAlign w:val="center"/>
            <w:hideMark/>
          </w:tcPr>
          <w:p w14:paraId="44126BCF"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11BEB8C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3,91</w:t>
            </w:r>
          </w:p>
        </w:tc>
        <w:tc>
          <w:tcPr>
            <w:tcW w:w="404" w:type="pct"/>
            <w:tcBorders>
              <w:top w:val="nil"/>
              <w:left w:val="nil"/>
              <w:bottom w:val="single" w:sz="4" w:space="0" w:color="auto"/>
              <w:right w:val="single" w:sz="4" w:space="0" w:color="auto"/>
            </w:tcBorders>
            <w:shd w:val="clear" w:color="auto" w:fill="auto"/>
            <w:vAlign w:val="center"/>
            <w:hideMark/>
          </w:tcPr>
          <w:p w14:paraId="5CC4205B"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3,93</w:t>
            </w:r>
          </w:p>
        </w:tc>
        <w:tc>
          <w:tcPr>
            <w:tcW w:w="437" w:type="pct"/>
            <w:tcBorders>
              <w:top w:val="nil"/>
              <w:left w:val="nil"/>
              <w:bottom w:val="single" w:sz="4" w:space="0" w:color="auto"/>
              <w:right w:val="single" w:sz="4" w:space="0" w:color="auto"/>
            </w:tcBorders>
            <w:shd w:val="clear" w:color="auto" w:fill="auto"/>
            <w:vAlign w:val="center"/>
            <w:hideMark/>
          </w:tcPr>
          <w:p w14:paraId="6B1A306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4,6</w:t>
            </w:r>
          </w:p>
        </w:tc>
        <w:tc>
          <w:tcPr>
            <w:tcW w:w="437" w:type="pct"/>
            <w:tcBorders>
              <w:top w:val="nil"/>
              <w:left w:val="nil"/>
              <w:bottom w:val="single" w:sz="4" w:space="0" w:color="auto"/>
              <w:right w:val="single" w:sz="4" w:space="0" w:color="auto"/>
            </w:tcBorders>
            <w:shd w:val="clear" w:color="auto" w:fill="auto"/>
            <w:vAlign w:val="center"/>
            <w:hideMark/>
          </w:tcPr>
          <w:p w14:paraId="66BED39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41C8972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4,47</w:t>
            </w:r>
          </w:p>
        </w:tc>
      </w:tr>
      <w:tr w:rsidR="00B65108" w:rsidRPr="001D093C" w14:paraId="2737A85E" w14:textId="77777777" w:rsidTr="00195FB7">
        <w:trPr>
          <w:trHeight w:val="288"/>
        </w:trPr>
        <w:tc>
          <w:tcPr>
            <w:tcW w:w="2912" w:type="pct"/>
            <w:gridSpan w:val="2"/>
            <w:tcBorders>
              <w:top w:val="nil"/>
              <w:left w:val="nil"/>
              <w:bottom w:val="single" w:sz="4" w:space="0" w:color="000000"/>
              <w:right w:val="nil"/>
            </w:tcBorders>
            <w:shd w:val="clear" w:color="000000" w:fill="CCCCCC"/>
            <w:vAlign w:val="center"/>
            <w:hideMark/>
          </w:tcPr>
          <w:p w14:paraId="49EE0031"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4A8A320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3,88</w:t>
            </w:r>
          </w:p>
        </w:tc>
        <w:tc>
          <w:tcPr>
            <w:tcW w:w="404" w:type="pct"/>
            <w:tcBorders>
              <w:top w:val="nil"/>
              <w:left w:val="nil"/>
              <w:bottom w:val="single" w:sz="4" w:space="0" w:color="auto"/>
              <w:right w:val="single" w:sz="4" w:space="0" w:color="auto"/>
            </w:tcBorders>
            <w:shd w:val="clear" w:color="auto" w:fill="auto"/>
            <w:vAlign w:val="center"/>
            <w:hideMark/>
          </w:tcPr>
          <w:p w14:paraId="32AD919B"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4,09</w:t>
            </w:r>
          </w:p>
        </w:tc>
        <w:tc>
          <w:tcPr>
            <w:tcW w:w="437" w:type="pct"/>
            <w:tcBorders>
              <w:top w:val="nil"/>
              <w:left w:val="nil"/>
              <w:bottom w:val="single" w:sz="4" w:space="0" w:color="auto"/>
              <w:right w:val="single" w:sz="4" w:space="0" w:color="auto"/>
            </w:tcBorders>
            <w:shd w:val="clear" w:color="auto" w:fill="auto"/>
            <w:vAlign w:val="center"/>
            <w:hideMark/>
          </w:tcPr>
          <w:p w14:paraId="47B7AC1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4,71</w:t>
            </w:r>
          </w:p>
        </w:tc>
        <w:tc>
          <w:tcPr>
            <w:tcW w:w="437" w:type="pct"/>
            <w:tcBorders>
              <w:top w:val="nil"/>
              <w:left w:val="nil"/>
              <w:bottom w:val="single" w:sz="4" w:space="0" w:color="auto"/>
              <w:right w:val="single" w:sz="4" w:space="0" w:color="auto"/>
            </w:tcBorders>
            <w:shd w:val="clear" w:color="auto" w:fill="auto"/>
            <w:vAlign w:val="center"/>
            <w:hideMark/>
          </w:tcPr>
          <w:p w14:paraId="6C51E4D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1CC4067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3,73</w:t>
            </w:r>
          </w:p>
        </w:tc>
      </w:tr>
      <w:tr w:rsidR="00B65108" w:rsidRPr="001D093C" w14:paraId="0643AEEA" w14:textId="77777777" w:rsidTr="00195FB7">
        <w:trPr>
          <w:trHeight w:val="600"/>
        </w:trPr>
        <w:tc>
          <w:tcPr>
            <w:tcW w:w="2912" w:type="pct"/>
            <w:gridSpan w:val="2"/>
            <w:tcBorders>
              <w:top w:val="nil"/>
              <w:left w:val="nil"/>
              <w:bottom w:val="single" w:sz="4" w:space="0" w:color="000000"/>
              <w:right w:val="nil"/>
            </w:tcBorders>
            <w:shd w:val="clear" w:color="000000" w:fill="CCCCCC"/>
            <w:vAlign w:val="center"/>
            <w:hideMark/>
          </w:tcPr>
          <w:p w14:paraId="1D42E209"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29E63C7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w:t>
            </w:r>
          </w:p>
        </w:tc>
        <w:tc>
          <w:tcPr>
            <w:tcW w:w="404" w:type="pct"/>
            <w:tcBorders>
              <w:top w:val="nil"/>
              <w:left w:val="nil"/>
              <w:bottom w:val="single" w:sz="4" w:space="0" w:color="auto"/>
              <w:right w:val="single" w:sz="4" w:space="0" w:color="auto"/>
            </w:tcBorders>
            <w:shd w:val="clear" w:color="auto" w:fill="auto"/>
            <w:vAlign w:val="center"/>
            <w:hideMark/>
          </w:tcPr>
          <w:p w14:paraId="00AAD98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3,86</w:t>
            </w:r>
          </w:p>
        </w:tc>
        <w:tc>
          <w:tcPr>
            <w:tcW w:w="437" w:type="pct"/>
            <w:tcBorders>
              <w:top w:val="nil"/>
              <w:left w:val="nil"/>
              <w:bottom w:val="single" w:sz="4" w:space="0" w:color="auto"/>
              <w:right w:val="single" w:sz="4" w:space="0" w:color="auto"/>
            </w:tcBorders>
            <w:shd w:val="clear" w:color="auto" w:fill="auto"/>
            <w:vAlign w:val="center"/>
            <w:hideMark/>
          </w:tcPr>
          <w:p w14:paraId="3568F02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2,63</w:t>
            </w:r>
          </w:p>
        </w:tc>
        <w:tc>
          <w:tcPr>
            <w:tcW w:w="437" w:type="pct"/>
            <w:tcBorders>
              <w:top w:val="nil"/>
              <w:left w:val="nil"/>
              <w:bottom w:val="single" w:sz="4" w:space="0" w:color="auto"/>
              <w:right w:val="single" w:sz="4" w:space="0" w:color="auto"/>
            </w:tcBorders>
            <w:shd w:val="clear" w:color="auto" w:fill="auto"/>
            <w:vAlign w:val="center"/>
            <w:hideMark/>
          </w:tcPr>
          <w:p w14:paraId="15D11023"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74" w:type="pct"/>
            <w:tcBorders>
              <w:top w:val="nil"/>
              <w:left w:val="nil"/>
              <w:bottom w:val="single" w:sz="4" w:space="0" w:color="auto"/>
              <w:right w:val="single" w:sz="4" w:space="0" w:color="auto"/>
            </w:tcBorders>
            <w:shd w:val="clear" w:color="auto" w:fill="auto"/>
            <w:vAlign w:val="center"/>
            <w:hideMark/>
          </w:tcPr>
          <w:p w14:paraId="1064CE1B"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3,5</w:t>
            </w:r>
          </w:p>
        </w:tc>
      </w:tr>
    </w:tbl>
    <w:p w14:paraId="6D99F6F6" w14:textId="77777777" w:rsidR="00FB1936" w:rsidRDefault="00FB1936" w:rsidP="006A3AAA">
      <w:pPr>
        <w:spacing w:after="0"/>
      </w:pPr>
    </w:p>
    <w:tbl>
      <w:tblPr>
        <w:tblW w:w="5000" w:type="pct"/>
        <w:tblCellMar>
          <w:left w:w="70" w:type="dxa"/>
          <w:right w:w="70" w:type="dxa"/>
        </w:tblCellMar>
        <w:tblLook w:val="04A0" w:firstRow="1" w:lastRow="0" w:firstColumn="1" w:lastColumn="0" w:noHBand="0" w:noVBand="1"/>
      </w:tblPr>
      <w:tblGrid>
        <w:gridCol w:w="3646"/>
        <w:gridCol w:w="1913"/>
        <w:gridCol w:w="739"/>
        <w:gridCol w:w="739"/>
        <w:gridCol w:w="739"/>
        <w:gridCol w:w="739"/>
        <w:gridCol w:w="635"/>
      </w:tblGrid>
      <w:tr w:rsidR="00DA5A09" w:rsidRPr="001D093C" w14:paraId="64ACCADC" w14:textId="77777777" w:rsidTr="00B65108">
        <w:trPr>
          <w:trHeight w:val="600"/>
        </w:trPr>
        <w:tc>
          <w:tcPr>
            <w:tcW w:w="3037"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46A41ECC" w14:textId="77777777" w:rsidR="00DA5A09" w:rsidRPr="001D093C" w:rsidRDefault="00DA5A09" w:rsidP="00DA5A09">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(CENTRO)</w:t>
            </w:r>
          </w:p>
        </w:tc>
        <w:tc>
          <w:tcPr>
            <w:tcW w:w="404" w:type="pct"/>
            <w:tcBorders>
              <w:top w:val="single" w:sz="4" w:space="0" w:color="000000"/>
              <w:left w:val="nil"/>
              <w:bottom w:val="nil"/>
              <w:right w:val="single" w:sz="4" w:space="0" w:color="000000"/>
            </w:tcBorders>
            <w:shd w:val="clear" w:color="000000" w:fill="244061"/>
            <w:vAlign w:val="center"/>
            <w:hideMark/>
          </w:tcPr>
          <w:p w14:paraId="213E5373"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2016-17</w:t>
            </w:r>
          </w:p>
        </w:tc>
        <w:tc>
          <w:tcPr>
            <w:tcW w:w="404" w:type="pct"/>
            <w:tcBorders>
              <w:top w:val="single" w:sz="4" w:space="0" w:color="000000"/>
              <w:left w:val="nil"/>
              <w:bottom w:val="nil"/>
              <w:right w:val="single" w:sz="4" w:space="0" w:color="000000"/>
            </w:tcBorders>
            <w:shd w:val="clear" w:color="000000" w:fill="244061"/>
            <w:vAlign w:val="center"/>
            <w:hideMark/>
          </w:tcPr>
          <w:p w14:paraId="6F14265C"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404" w:type="pct"/>
            <w:tcBorders>
              <w:top w:val="single" w:sz="4" w:space="0" w:color="000000"/>
              <w:left w:val="nil"/>
              <w:bottom w:val="nil"/>
              <w:right w:val="single" w:sz="4" w:space="0" w:color="000000"/>
            </w:tcBorders>
            <w:shd w:val="clear" w:color="000000" w:fill="244061"/>
            <w:vAlign w:val="center"/>
            <w:hideMark/>
          </w:tcPr>
          <w:p w14:paraId="7310917A"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404" w:type="pct"/>
            <w:tcBorders>
              <w:top w:val="single" w:sz="4" w:space="0" w:color="000000"/>
              <w:left w:val="nil"/>
              <w:bottom w:val="nil"/>
              <w:right w:val="single" w:sz="4" w:space="0" w:color="000000"/>
            </w:tcBorders>
            <w:shd w:val="clear" w:color="000000" w:fill="244061"/>
            <w:vAlign w:val="center"/>
            <w:hideMark/>
          </w:tcPr>
          <w:p w14:paraId="5DA9F17A"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348" w:type="pct"/>
            <w:tcBorders>
              <w:top w:val="single" w:sz="4" w:space="0" w:color="000000"/>
              <w:left w:val="nil"/>
              <w:bottom w:val="nil"/>
              <w:right w:val="single" w:sz="4" w:space="0" w:color="000000"/>
            </w:tcBorders>
            <w:shd w:val="clear" w:color="000000" w:fill="244061"/>
            <w:vAlign w:val="center"/>
            <w:hideMark/>
          </w:tcPr>
          <w:p w14:paraId="5BA1AE69"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B65108" w:rsidRPr="001D093C" w14:paraId="63248B3B"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53EF3628"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D8D6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76,52%</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C25647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118C9CE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84,66%</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A6BF1B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87,38%</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7A24718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82%</w:t>
            </w:r>
          </w:p>
        </w:tc>
      </w:tr>
      <w:tr w:rsidR="00B65108" w:rsidRPr="001D093C" w14:paraId="00882CFD"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0BFE3705"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291737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97,96%</w:t>
            </w:r>
          </w:p>
        </w:tc>
        <w:tc>
          <w:tcPr>
            <w:tcW w:w="404" w:type="pct"/>
            <w:tcBorders>
              <w:top w:val="nil"/>
              <w:left w:val="nil"/>
              <w:bottom w:val="single" w:sz="4" w:space="0" w:color="auto"/>
              <w:right w:val="single" w:sz="4" w:space="0" w:color="auto"/>
            </w:tcBorders>
            <w:shd w:val="clear" w:color="auto" w:fill="auto"/>
            <w:vAlign w:val="center"/>
            <w:hideMark/>
          </w:tcPr>
          <w:p w14:paraId="11075BF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98%</w:t>
            </w:r>
          </w:p>
        </w:tc>
        <w:tc>
          <w:tcPr>
            <w:tcW w:w="404" w:type="pct"/>
            <w:tcBorders>
              <w:top w:val="nil"/>
              <w:left w:val="nil"/>
              <w:bottom w:val="single" w:sz="4" w:space="0" w:color="auto"/>
              <w:right w:val="single" w:sz="4" w:space="0" w:color="auto"/>
            </w:tcBorders>
            <w:shd w:val="clear" w:color="auto" w:fill="auto"/>
            <w:vAlign w:val="center"/>
            <w:hideMark/>
          </w:tcPr>
          <w:p w14:paraId="62610F3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99,26%</w:t>
            </w:r>
          </w:p>
        </w:tc>
        <w:tc>
          <w:tcPr>
            <w:tcW w:w="404" w:type="pct"/>
            <w:tcBorders>
              <w:top w:val="nil"/>
              <w:left w:val="nil"/>
              <w:bottom w:val="single" w:sz="4" w:space="0" w:color="auto"/>
              <w:right w:val="single" w:sz="4" w:space="0" w:color="auto"/>
            </w:tcBorders>
            <w:shd w:val="clear" w:color="auto" w:fill="auto"/>
            <w:vAlign w:val="center"/>
            <w:hideMark/>
          </w:tcPr>
          <w:p w14:paraId="4091990E"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99,18%</w:t>
            </w:r>
          </w:p>
        </w:tc>
        <w:tc>
          <w:tcPr>
            <w:tcW w:w="348" w:type="pct"/>
            <w:tcBorders>
              <w:top w:val="nil"/>
              <w:left w:val="nil"/>
              <w:bottom w:val="single" w:sz="4" w:space="0" w:color="auto"/>
              <w:right w:val="single" w:sz="4" w:space="0" w:color="auto"/>
            </w:tcBorders>
            <w:shd w:val="clear" w:color="auto" w:fill="auto"/>
            <w:vAlign w:val="center"/>
            <w:hideMark/>
          </w:tcPr>
          <w:p w14:paraId="2CA9936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99,6%</w:t>
            </w:r>
          </w:p>
        </w:tc>
      </w:tr>
      <w:tr w:rsidR="00B65108" w:rsidRPr="001D093C" w14:paraId="59D6ACAF"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0332883B"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4A0FA4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78,11%</w:t>
            </w:r>
          </w:p>
        </w:tc>
        <w:tc>
          <w:tcPr>
            <w:tcW w:w="404" w:type="pct"/>
            <w:tcBorders>
              <w:top w:val="nil"/>
              <w:left w:val="nil"/>
              <w:bottom w:val="single" w:sz="4" w:space="0" w:color="auto"/>
              <w:right w:val="single" w:sz="4" w:space="0" w:color="auto"/>
            </w:tcBorders>
            <w:shd w:val="clear" w:color="auto" w:fill="auto"/>
            <w:vAlign w:val="center"/>
            <w:hideMark/>
          </w:tcPr>
          <w:p w14:paraId="6EAD652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85%</w:t>
            </w:r>
          </w:p>
        </w:tc>
        <w:tc>
          <w:tcPr>
            <w:tcW w:w="404" w:type="pct"/>
            <w:tcBorders>
              <w:top w:val="nil"/>
              <w:left w:val="nil"/>
              <w:bottom w:val="single" w:sz="4" w:space="0" w:color="auto"/>
              <w:right w:val="single" w:sz="4" w:space="0" w:color="auto"/>
            </w:tcBorders>
            <w:shd w:val="clear" w:color="auto" w:fill="auto"/>
            <w:vAlign w:val="center"/>
            <w:hideMark/>
          </w:tcPr>
          <w:p w14:paraId="0D0DF94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85,29%</w:t>
            </w:r>
          </w:p>
        </w:tc>
        <w:tc>
          <w:tcPr>
            <w:tcW w:w="404" w:type="pct"/>
            <w:tcBorders>
              <w:top w:val="nil"/>
              <w:left w:val="nil"/>
              <w:bottom w:val="single" w:sz="4" w:space="0" w:color="auto"/>
              <w:right w:val="single" w:sz="4" w:space="0" w:color="auto"/>
            </w:tcBorders>
            <w:shd w:val="clear" w:color="auto" w:fill="auto"/>
            <w:vAlign w:val="center"/>
            <w:hideMark/>
          </w:tcPr>
          <w:p w14:paraId="6C212BE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88,09%</w:t>
            </w:r>
          </w:p>
        </w:tc>
        <w:tc>
          <w:tcPr>
            <w:tcW w:w="348" w:type="pct"/>
            <w:tcBorders>
              <w:top w:val="nil"/>
              <w:left w:val="nil"/>
              <w:bottom w:val="single" w:sz="4" w:space="0" w:color="auto"/>
              <w:right w:val="single" w:sz="4" w:space="0" w:color="auto"/>
            </w:tcBorders>
            <w:shd w:val="clear" w:color="auto" w:fill="auto"/>
            <w:vAlign w:val="center"/>
            <w:hideMark/>
          </w:tcPr>
          <w:p w14:paraId="4F9D1FB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82,3%</w:t>
            </w:r>
          </w:p>
        </w:tc>
      </w:tr>
      <w:tr w:rsidR="00B65108" w:rsidRPr="001D093C" w14:paraId="1CD092D7"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1BABA36C"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2A924A7"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2,08%</w:t>
            </w:r>
          </w:p>
        </w:tc>
        <w:tc>
          <w:tcPr>
            <w:tcW w:w="404" w:type="pct"/>
            <w:tcBorders>
              <w:top w:val="nil"/>
              <w:left w:val="nil"/>
              <w:bottom w:val="single" w:sz="4" w:space="0" w:color="auto"/>
              <w:right w:val="single" w:sz="4" w:space="0" w:color="auto"/>
            </w:tcBorders>
            <w:shd w:val="clear" w:color="auto" w:fill="auto"/>
            <w:vAlign w:val="center"/>
            <w:hideMark/>
          </w:tcPr>
          <w:p w14:paraId="4DEFD9E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1,61%</w:t>
            </w:r>
          </w:p>
        </w:tc>
        <w:tc>
          <w:tcPr>
            <w:tcW w:w="404" w:type="pct"/>
            <w:tcBorders>
              <w:top w:val="nil"/>
              <w:left w:val="nil"/>
              <w:bottom w:val="single" w:sz="4" w:space="0" w:color="auto"/>
              <w:right w:val="single" w:sz="4" w:space="0" w:color="auto"/>
            </w:tcBorders>
            <w:shd w:val="clear" w:color="auto" w:fill="auto"/>
            <w:vAlign w:val="center"/>
            <w:hideMark/>
          </w:tcPr>
          <w:p w14:paraId="05877ED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8,54%</w:t>
            </w:r>
          </w:p>
        </w:tc>
        <w:tc>
          <w:tcPr>
            <w:tcW w:w="404" w:type="pct"/>
            <w:tcBorders>
              <w:top w:val="nil"/>
              <w:left w:val="nil"/>
              <w:bottom w:val="single" w:sz="4" w:space="0" w:color="auto"/>
              <w:right w:val="single" w:sz="4" w:space="0" w:color="auto"/>
            </w:tcBorders>
            <w:shd w:val="clear" w:color="auto" w:fill="auto"/>
            <w:vAlign w:val="center"/>
            <w:hideMark/>
          </w:tcPr>
          <w:p w14:paraId="3A18A9C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4,65%</w:t>
            </w:r>
          </w:p>
        </w:tc>
        <w:tc>
          <w:tcPr>
            <w:tcW w:w="348" w:type="pct"/>
            <w:tcBorders>
              <w:top w:val="nil"/>
              <w:left w:val="nil"/>
              <w:bottom w:val="single" w:sz="4" w:space="0" w:color="auto"/>
              <w:right w:val="single" w:sz="4" w:space="0" w:color="auto"/>
            </w:tcBorders>
            <w:shd w:val="clear" w:color="auto" w:fill="auto"/>
            <w:vAlign w:val="center"/>
            <w:hideMark/>
          </w:tcPr>
          <w:p w14:paraId="5F355A28"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9,9%</w:t>
            </w:r>
          </w:p>
        </w:tc>
      </w:tr>
      <w:tr w:rsidR="00B65108" w:rsidRPr="001D093C" w14:paraId="1A2A2C83"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089E0193"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0AF121C"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26,53%</w:t>
            </w:r>
          </w:p>
        </w:tc>
        <w:tc>
          <w:tcPr>
            <w:tcW w:w="404" w:type="pct"/>
            <w:tcBorders>
              <w:top w:val="nil"/>
              <w:left w:val="nil"/>
              <w:bottom w:val="single" w:sz="4" w:space="0" w:color="auto"/>
              <w:right w:val="single" w:sz="4" w:space="0" w:color="auto"/>
            </w:tcBorders>
            <w:shd w:val="clear" w:color="auto" w:fill="auto"/>
            <w:vAlign w:val="center"/>
            <w:hideMark/>
          </w:tcPr>
          <w:p w14:paraId="47568E5E"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61,29%</w:t>
            </w:r>
          </w:p>
        </w:tc>
        <w:tc>
          <w:tcPr>
            <w:tcW w:w="404" w:type="pct"/>
            <w:tcBorders>
              <w:top w:val="nil"/>
              <w:left w:val="nil"/>
              <w:bottom w:val="single" w:sz="4" w:space="0" w:color="auto"/>
              <w:right w:val="single" w:sz="4" w:space="0" w:color="auto"/>
            </w:tcBorders>
            <w:shd w:val="clear" w:color="auto" w:fill="auto"/>
            <w:vAlign w:val="center"/>
            <w:hideMark/>
          </w:tcPr>
          <w:p w14:paraId="5EA08FF4"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69,51%</w:t>
            </w:r>
          </w:p>
        </w:tc>
        <w:tc>
          <w:tcPr>
            <w:tcW w:w="404" w:type="pct"/>
            <w:tcBorders>
              <w:top w:val="nil"/>
              <w:left w:val="nil"/>
              <w:bottom w:val="single" w:sz="4" w:space="0" w:color="auto"/>
              <w:right w:val="single" w:sz="4" w:space="0" w:color="auto"/>
            </w:tcBorders>
            <w:shd w:val="clear" w:color="auto" w:fill="auto"/>
            <w:vAlign w:val="center"/>
            <w:hideMark/>
          </w:tcPr>
          <w:p w14:paraId="50BF5B62"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66,28%</w:t>
            </w:r>
          </w:p>
        </w:tc>
        <w:tc>
          <w:tcPr>
            <w:tcW w:w="348" w:type="pct"/>
            <w:tcBorders>
              <w:top w:val="nil"/>
              <w:left w:val="nil"/>
              <w:bottom w:val="single" w:sz="4" w:space="0" w:color="auto"/>
              <w:right w:val="single" w:sz="4" w:space="0" w:color="auto"/>
            </w:tcBorders>
            <w:shd w:val="clear" w:color="auto" w:fill="auto"/>
            <w:vAlign w:val="center"/>
            <w:hideMark/>
          </w:tcPr>
          <w:p w14:paraId="58218CFA"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50,5%</w:t>
            </w:r>
          </w:p>
        </w:tc>
      </w:tr>
      <w:tr w:rsidR="00B65108" w:rsidRPr="001D093C" w14:paraId="5447E09C"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5EFA6153" w14:textId="77777777" w:rsidR="00B65108" w:rsidRPr="001D093C" w:rsidRDefault="00B65108" w:rsidP="00B65108">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6748EC9"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99,21%</w:t>
            </w:r>
          </w:p>
        </w:tc>
        <w:tc>
          <w:tcPr>
            <w:tcW w:w="404" w:type="pct"/>
            <w:tcBorders>
              <w:top w:val="nil"/>
              <w:left w:val="nil"/>
              <w:bottom w:val="single" w:sz="4" w:space="0" w:color="auto"/>
              <w:right w:val="single" w:sz="4" w:space="0" w:color="auto"/>
            </w:tcBorders>
            <w:shd w:val="clear" w:color="auto" w:fill="auto"/>
            <w:vAlign w:val="center"/>
            <w:hideMark/>
          </w:tcPr>
          <w:p w14:paraId="00968280"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90,43%</w:t>
            </w:r>
          </w:p>
        </w:tc>
        <w:tc>
          <w:tcPr>
            <w:tcW w:w="404" w:type="pct"/>
            <w:tcBorders>
              <w:top w:val="nil"/>
              <w:left w:val="nil"/>
              <w:bottom w:val="single" w:sz="4" w:space="0" w:color="auto"/>
              <w:right w:val="single" w:sz="4" w:space="0" w:color="auto"/>
            </w:tcBorders>
            <w:shd w:val="clear" w:color="auto" w:fill="auto"/>
            <w:vAlign w:val="center"/>
            <w:hideMark/>
          </w:tcPr>
          <w:p w14:paraId="291914EF"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92,86%</w:t>
            </w:r>
          </w:p>
        </w:tc>
        <w:tc>
          <w:tcPr>
            <w:tcW w:w="404" w:type="pct"/>
            <w:tcBorders>
              <w:top w:val="nil"/>
              <w:left w:val="nil"/>
              <w:bottom w:val="single" w:sz="4" w:space="0" w:color="auto"/>
              <w:right w:val="single" w:sz="4" w:space="0" w:color="auto"/>
            </w:tcBorders>
            <w:shd w:val="clear" w:color="auto" w:fill="auto"/>
            <w:vAlign w:val="center"/>
            <w:hideMark/>
          </w:tcPr>
          <w:p w14:paraId="4244E3A6"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91,62%</w:t>
            </w:r>
          </w:p>
        </w:tc>
        <w:tc>
          <w:tcPr>
            <w:tcW w:w="348" w:type="pct"/>
            <w:tcBorders>
              <w:top w:val="nil"/>
              <w:left w:val="nil"/>
              <w:bottom w:val="single" w:sz="4" w:space="0" w:color="auto"/>
              <w:right w:val="single" w:sz="4" w:space="0" w:color="auto"/>
            </w:tcBorders>
            <w:shd w:val="clear" w:color="auto" w:fill="auto"/>
            <w:vAlign w:val="center"/>
            <w:hideMark/>
          </w:tcPr>
          <w:p w14:paraId="67DE3FF1" w14:textId="77777777" w:rsidR="00B65108" w:rsidRPr="000A4943" w:rsidRDefault="00B65108" w:rsidP="00B65108">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93,2%</w:t>
            </w:r>
          </w:p>
        </w:tc>
      </w:tr>
      <w:tr w:rsidR="000A4943" w:rsidRPr="001D093C" w14:paraId="7E61FE88" w14:textId="77777777" w:rsidTr="000A4943">
        <w:trPr>
          <w:trHeight w:val="288"/>
        </w:trPr>
        <w:tc>
          <w:tcPr>
            <w:tcW w:w="1992" w:type="pct"/>
            <w:tcBorders>
              <w:top w:val="nil"/>
              <w:left w:val="nil"/>
              <w:bottom w:val="single" w:sz="4" w:space="0" w:color="000000"/>
              <w:right w:val="nil"/>
            </w:tcBorders>
            <w:shd w:val="clear" w:color="000000" w:fill="CCCCCC"/>
            <w:vAlign w:val="center"/>
            <w:hideMark/>
          </w:tcPr>
          <w:p w14:paraId="64809544"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045" w:type="pct"/>
            <w:tcBorders>
              <w:top w:val="nil"/>
              <w:left w:val="nil"/>
              <w:bottom w:val="single" w:sz="4" w:space="0" w:color="000000"/>
              <w:right w:val="nil"/>
            </w:tcBorders>
            <w:shd w:val="clear" w:color="000000" w:fill="CCCCCC"/>
            <w:vAlign w:val="center"/>
            <w:hideMark/>
          </w:tcPr>
          <w:p w14:paraId="33EB2E51" w14:textId="77777777" w:rsidR="000A4943" w:rsidRPr="001D093C" w:rsidRDefault="000A4943" w:rsidP="000A4943">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05CA062"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1,8</w:t>
            </w:r>
          </w:p>
        </w:tc>
        <w:tc>
          <w:tcPr>
            <w:tcW w:w="404" w:type="pct"/>
            <w:tcBorders>
              <w:top w:val="nil"/>
              <w:left w:val="nil"/>
              <w:bottom w:val="single" w:sz="4" w:space="0" w:color="auto"/>
              <w:right w:val="single" w:sz="4" w:space="0" w:color="auto"/>
            </w:tcBorders>
            <w:shd w:val="clear" w:color="auto" w:fill="auto"/>
            <w:vAlign w:val="center"/>
            <w:hideMark/>
          </w:tcPr>
          <w:p w14:paraId="5C81A9F7"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1,59</w:t>
            </w:r>
          </w:p>
        </w:tc>
        <w:tc>
          <w:tcPr>
            <w:tcW w:w="404" w:type="pct"/>
            <w:tcBorders>
              <w:top w:val="nil"/>
              <w:left w:val="nil"/>
              <w:bottom w:val="single" w:sz="4" w:space="0" w:color="auto"/>
              <w:right w:val="single" w:sz="4" w:space="0" w:color="auto"/>
            </w:tcBorders>
            <w:shd w:val="clear" w:color="auto" w:fill="auto"/>
            <w:vAlign w:val="center"/>
            <w:hideMark/>
          </w:tcPr>
          <w:p w14:paraId="756244D0"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1,45</w:t>
            </w:r>
          </w:p>
        </w:tc>
        <w:tc>
          <w:tcPr>
            <w:tcW w:w="404" w:type="pct"/>
            <w:tcBorders>
              <w:top w:val="nil"/>
              <w:left w:val="nil"/>
              <w:bottom w:val="single" w:sz="4" w:space="0" w:color="auto"/>
              <w:right w:val="single" w:sz="4" w:space="0" w:color="auto"/>
            </w:tcBorders>
            <w:shd w:val="clear" w:color="auto" w:fill="auto"/>
            <w:vAlign w:val="center"/>
            <w:hideMark/>
          </w:tcPr>
          <w:p w14:paraId="55F6E8D5"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1,4</w:t>
            </w:r>
          </w:p>
        </w:tc>
        <w:tc>
          <w:tcPr>
            <w:tcW w:w="348" w:type="pct"/>
            <w:tcBorders>
              <w:top w:val="nil"/>
              <w:left w:val="nil"/>
              <w:bottom w:val="single" w:sz="4" w:space="0" w:color="auto"/>
              <w:right w:val="single" w:sz="4" w:space="0" w:color="auto"/>
            </w:tcBorders>
            <w:shd w:val="clear" w:color="auto" w:fill="auto"/>
            <w:vAlign w:val="center"/>
            <w:hideMark/>
          </w:tcPr>
          <w:p w14:paraId="7C4F0439"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1,33</w:t>
            </w:r>
          </w:p>
        </w:tc>
      </w:tr>
      <w:tr w:rsidR="000A4943" w:rsidRPr="001D093C" w14:paraId="08FE0087" w14:textId="77777777" w:rsidTr="00B65108">
        <w:trPr>
          <w:trHeight w:val="600"/>
        </w:trPr>
        <w:tc>
          <w:tcPr>
            <w:tcW w:w="3037" w:type="pct"/>
            <w:gridSpan w:val="2"/>
            <w:tcBorders>
              <w:top w:val="nil"/>
              <w:left w:val="nil"/>
              <w:bottom w:val="single" w:sz="4" w:space="0" w:color="000000"/>
              <w:right w:val="nil"/>
            </w:tcBorders>
            <w:shd w:val="clear" w:color="000000" w:fill="CCCCCC"/>
            <w:vAlign w:val="center"/>
            <w:hideMark/>
          </w:tcPr>
          <w:p w14:paraId="106EA31E"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F74652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2F5A60CA"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393FFF86"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673A7EDC"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4A21AD31"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w:t>
            </w:r>
          </w:p>
        </w:tc>
      </w:tr>
      <w:tr w:rsidR="000A4943" w:rsidRPr="001D093C" w14:paraId="2B745E19" w14:textId="77777777" w:rsidTr="000A4943">
        <w:trPr>
          <w:trHeight w:val="288"/>
        </w:trPr>
        <w:tc>
          <w:tcPr>
            <w:tcW w:w="1992" w:type="pct"/>
            <w:vMerge w:val="restart"/>
            <w:tcBorders>
              <w:top w:val="nil"/>
              <w:left w:val="nil"/>
              <w:bottom w:val="single" w:sz="4" w:space="0" w:color="000000"/>
              <w:right w:val="single" w:sz="4" w:space="0" w:color="000000"/>
            </w:tcBorders>
            <w:shd w:val="clear" w:color="000000" w:fill="CCCCCC"/>
            <w:vAlign w:val="center"/>
            <w:hideMark/>
          </w:tcPr>
          <w:p w14:paraId="1366F8B6"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045" w:type="pct"/>
            <w:tcBorders>
              <w:top w:val="nil"/>
              <w:left w:val="nil"/>
              <w:bottom w:val="single" w:sz="4" w:space="0" w:color="000000"/>
              <w:right w:val="nil"/>
            </w:tcBorders>
            <w:shd w:val="clear" w:color="000000" w:fill="CCCCCC"/>
            <w:vAlign w:val="center"/>
            <w:hideMark/>
          </w:tcPr>
          <w:p w14:paraId="70602466" w14:textId="77777777" w:rsidR="000A4943" w:rsidRPr="001D093C" w:rsidRDefault="000A4943" w:rsidP="000A4943">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internacional</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361456E"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5,6%</w:t>
            </w:r>
          </w:p>
        </w:tc>
        <w:tc>
          <w:tcPr>
            <w:tcW w:w="404" w:type="pct"/>
            <w:tcBorders>
              <w:top w:val="nil"/>
              <w:left w:val="nil"/>
              <w:bottom w:val="single" w:sz="4" w:space="0" w:color="auto"/>
              <w:right w:val="single" w:sz="4" w:space="0" w:color="auto"/>
            </w:tcBorders>
            <w:shd w:val="clear" w:color="auto" w:fill="auto"/>
            <w:vAlign w:val="center"/>
            <w:hideMark/>
          </w:tcPr>
          <w:p w14:paraId="35B167DA"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4,92%</w:t>
            </w:r>
          </w:p>
        </w:tc>
        <w:tc>
          <w:tcPr>
            <w:tcW w:w="404" w:type="pct"/>
            <w:tcBorders>
              <w:top w:val="nil"/>
              <w:left w:val="nil"/>
              <w:bottom w:val="single" w:sz="4" w:space="0" w:color="auto"/>
              <w:right w:val="single" w:sz="4" w:space="0" w:color="auto"/>
            </w:tcBorders>
            <w:shd w:val="clear" w:color="auto" w:fill="auto"/>
            <w:vAlign w:val="center"/>
            <w:hideMark/>
          </w:tcPr>
          <w:p w14:paraId="71E9D655"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4,39%</w:t>
            </w:r>
          </w:p>
        </w:tc>
        <w:tc>
          <w:tcPr>
            <w:tcW w:w="404" w:type="pct"/>
            <w:tcBorders>
              <w:top w:val="nil"/>
              <w:left w:val="nil"/>
              <w:bottom w:val="single" w:sz="4" w:space="0" w:color="auto"/>
              <w:right w:val="single" w:sz="4" w:space="0" w:color="auto"/>
            </w:tcBorders>
            <w:shd w:val="clear" w:color="auto" w:fill="auto"/>
            <w:vAlign w:val="center"/>
            <w:hideMark/>
          </w:tcPr>
          <w:p w14:paraId="32D0674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5,22%</w:t>
            </w:r>
          </w:p>
        </w:tc>
        <w:tc>
          <w:tcPr>
            <w:tcW w:w="348" w:type="pct"/>
            <w:tcBorders>
              <w:top w:val="nil"/>
              <w:left w:val="nil"/>
              <w:bottom w:val="single" w:sz="4" w:space="0" w:color="auto"/>
              <w:right w:val="single" w:sz="4" w:space="0" w:color="auto"/>
            </w:tcBorders>
            <w:shd w:val="clear" w:color="auto" w:fill="auto"/>
            <w:vAlign w:val="center"/>
            <w:hideMark/>
          </w:tcPr>
          <w:p w14:paraId="0017C886"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6,56%</w:t>
            </w:r>
          </w:p>
        </w:tc>
      </w:tr>
      <w:tr w:rsidR="000A4943" w:rsidRPr="001D093C" w14:paraId="5661BE4F" w14:textId="77777777" w:rsidTr="000A4943">
        <w:trPr>
          <w:trHeight w:val="288"/>
        </w:trPr>
        <w:tc>
          <w:tcPr>
            <w:tcW w:w="1992" w:type="pct"/>
            <w:vMerge/>
            <w:tcBorders>
              <w:top w:val="nil"/>
              <w:left w:val="nil"/>
              <w:bottom w:val="single" w:sz="4" w:space="0" w:color="000000"/>
              <w:right w:val="single" w:sz="4" w:space="0" w:color="000000"/>
            </w:tcBorders>
            <w:vAlign w:val="center"/>
            <w:hideMark/>
          </w:tcPr>
          <w:p w14:paraId="2A4ABF60"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p>
        </w:tc>
        <w:tc>
          <w:tcPr>
            <w:tcW w:w="1045" w:type="pct"/>
            <w:tcBorders>
              <w:top w:val="nil"/>
              <w:left w:val="nil"/>
              <w:bottom w:val="single" w:sz="4" w:space="0" w:color="000000"/>
              <w:right w:val="nil"/>
            </w:tcBorders>
            <w:shd w:val="clear" w:color="000000" w:fill="CCCCCC"/>
            <w:vAlign w:val="center"/>
            <w:hideMark/>
          </w:tcPr>
          <w:p w14:paraId="109C8245" w14:textId="77777777" w:rsidR="000A4943" w:rsidRPr="001D093C" w:rsidRDefault="000A4943" w:rsidP="000A4943">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nacional</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F3E53FA"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75287F86"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2DB1327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01EAB42A"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240E5F10"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r>
      <w:tr w:rsidR="000A4943" w:rsidRPr="001D093C" w14:paraId="325EEC62" w14:textId="77777777" w:rsidTr="000A4943">
        <w:trPr>
          <w:trHeight w:val="288"/>
        </w:trPr>
        <w:tc>
          <w:tcPr>
            <w:tcW w:w="1992" w:type="pct"/>
            <w:vMerge/>
            <w:tcBorders>
              <w:top w:val="nil"/>
              <w:left w:val="nil"/>
              <w:bottom w:val="single" w:sz="4" w:space="0" w:color="000000"/>
              <w:right w:val="single" w:sz="4" w:space="0" w:color="000000"/>
            </w:tcBorders>
            <w:vAlign w:val="center"/>
            <w:hideMark/>
          </w:tcPr>
          <w:p w14:paraId="7ECEB0D7"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p>
        </w:tc>
        <w:tc>
          <w:tcPr>
            <w:tcW w:w="1045" w:type="pct"/>
            <w:tcBorders>
              <w:top w:val="nil"/>
              <w:left w:val="nil"/>
              <w:bottom w:val="single" w:sz="4" w:space="0" w:color="000000"/>
              <w:right w:val="nil"/>
            </w:tcBorders>
            <w:shd w:val="clear" w:color="000000" w:fill="CCCCCC"/>
            <w:vAlign w:val="center"/>
            <w:hideMark/>
          </w:tcPr>
          <w:p w14:paraId="5A6327A2" w14:textId="77777777" w:rsidR="000A4943" w:rsidRPr="001D093C" w:rsidRDefault="000A4943" w:rsidP="000A4943">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internacional</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F451B0"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3FEE8CA0"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3D95BF1A"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34D10E48"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531D9EB8"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1,64%</w:t>
            </w:r>
          </w:p>
        </w:tc>
      </w:tr>
      <w:tr w:rsidR="000A4943" w:rsidRPr="001D093C" w14:paraId="31BFD137" w14:textId="77777777" w:rsidTr="000A4943">
        <w:trPr>
          <w:trHeight w:val="288"/>
        </w:trPr>
        <w:tc>
          <w:tcPr>
            <w:tcW w:w="1992" w:type="pct"/>
            <w:vMerge/>
            <w:tcBorders>
              <w:top w:val="nil"/>
              <w:left w:val="nil"/>
              <w:bottom w:val="single" w:sz="4" w:space="0" w:color="000000"/>
              <w:right w:val="single" w:sz="4" w:space="0" w:color="000000"/>
            </w:tcBorders>
            <w:vAlign w:val="center"/>
            <w:hideMark/>
          </w:tcPr>
          <w:p w14:paraId="7E9F48E2"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p>
        </w:tc>
        <w:tc>
          <w:tcPr>
            <w:tcW w:w="1045" w:type="pct"/>
            <w:tcBorders>
              <w:top w:val="nil"/>
              <w:left w:val="nil"/>
              <w:bottom w:val="single" w:sz="4" w:space="0" w:color="000000"/>
              <w:right w:val="nil"/>
            </w:tcBorders>
            <w:shd w:val="clear" w:color="000000" w:fill="CCCCCC"/>
            <w:vAlign w:val="center"/>
            <w:hideMark/>
          </w:tcPr>
          <w:p w14:paraId="3FBC0BC6" w14:textId="77777777" w:rsidR="000A4943" w:rsidRPr="001D093C" w:rsidRDefault="000A4943" w:rsidP="000A4943">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nacional</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C8692"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5D634822"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44D329E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73FC4050"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2F3C2763"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r>
      <w:tr w:rsidR="000A4943" w:rsidRPr="001D093C" w14:paraId="005C3C27" w14:textId="77777777" w:rsidTr="00B65108">
        <w:trPr>
          <w:trHeight w:val="384"/>
        </w:trPr>
        <w:tc>
          <w:tcPr>
            <w:tcW w:w="3037" w:type="pct"/>
            <w:gridSpan w:val="2"/>
            <w:tcBorders>
              <w:top w:val="nil"/>
              <w:left w:val="nil"/>
              <w:bottom w:val="single" w:sz="4" w:space="0" w:color="000000"/>
              <w:right w:val="nil"/>
            </w:tcBorders>
            <w:shd w:val="clear" w:color="000000" w:fill="CCCCCC"/>
            <w:vAlign w:val="center"/>
            <w:hideMark/>
          </w:tcPr>
          <w:p w14:paraId="26C9F310"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7E7C9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2,97</w:t>
            </w:r>
          </w:p>
        </w:tc>
        <w:tc>
          <w:tcPr>
            <w:tcW w:w="404" w:type="pct"/>
            <w:tcBorders>
              <w:top w:val="nil"/>
              <w:left w:val="nil"/>
              <w:bottom w:val="single" w:sz="4" w:space="0" w:color="auto"/>
              <w:right w:val="single" w:sz="4" w:space="0" w:color="auto"/>
            </w:tcBorders>
            <w:shd w:val="clear" w:color="auto" w:fill="auto"/>
            <w:vAlign w:val="center"/>
            <w:hideMark/>
          </w:tcPr>
          <w:p w14:paraId="0B7F57AC"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3,04</w:t>
            </w:r>
          </w:p>
        </w:tc>
        <w:tc>
          <w:tcPr>
            <w:tcW w:w="404" w:type="pct"/>
            <w:tcBorders>
              <w:top w:val="nil"/>
              <w:left w:val="nil"/>
              <w:bottom w:val="single" w:sz="4" w:space="0" w:color="auto"/>
              <w:right w:val="single" w:sz="4" w:space="0" w:color="auto"/>
            </w:tcBorders>
            <w:shd w:val="clear" w:color="auto" w:fill="auto"/>
            <w:vAlign w:val="center"/>
            <w:hideMark/>
          </w:tcPr>
          <w:p w14:paraId="2F5323A6"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2,1</w:t>
            </w:r>
          </w:p>
        </w:tc>
        <w:tc>
          <w:tcPr>
            <w:tcW w:w="404" w:type="pct"/>
            <w:tcBorders>
              <w:top w:val="nil"/>
              <w:left w:val="nil"/>
              <w:bottom w:val="single" w:sz="4" w:space="0" w:color="auto"/>
              <w:right w:val="single" w:sz="4" w:space="0" w:color="auto"/>
            </w:tcBorders>
            <w:shd w:val="clear" w:color="auto" w:fill="auto"/>
            <w:vAlign w:val="center"/>
            <w:hideMark/>
          </w:tcPr>
          <w:p w14:paraId="238B59B1"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33FCB298"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3,13</w:t>
            </w:r>
          </w:p>
        </w:tc>
      </w:tr>
      <w:tr w:rsidR="000A4943" w:rsidRPr="001D093C" w14:paraId="6A9E11C9" w14:textId="77777777" w:rsidTr="00B65108">
        <w:trPr>
          <w:trHeight w:val="456"/>
        </w:trPr>
        <w:tc>
          <w:tcPr>
            <w:tcW w:w="3037" w:type="pct"/>
            <w:gridSpan w:val="2"/>
            <w:tcBorders>
              <w:top w:val="nil"/>
              <w:left w:val="nil"/>
              <w:bottom w:val="single" w:sz="4" w:space="0" w:color="000000"/>
              <w:right w:val="nil"/>
            </w:tcBorders>
            <w:shd w:val="clear" w:color="000000" w:fill="CCCCCC"/>
            <w:vAlign w:val="center"/>
            <w:hideMark/>
          </w:tcPr>
          <w:p w14:paraId="6D7C49DB"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42A3E69"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3,12</w:t>
            </w:r>
          </w:p>
        </w:tc>
        <w:tc>
          <w:tcPr>
            <w:tcW w:w="404" w:type="pct"/>
            <w:tcBorders>
              <w:top w:val="nil"/>
              <w:left w:val="nil"/>
              <w:bottom w:val="single" w:sz="4" w:space="0" w:color="auto"/>
              <w:right w:val="single" w:sz="4" w:space="0" w:color="auto"/>
            </w:tcBorders>
            <w:shd w:val="clear" w:color="auto" w:fill="auto"/>
            <w:vAlign w:val="center"/>
            <w:hideMark/>
          </w:tcPr>
          <w:p w14:paraId="73A920E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3,92</w:t>
            </w:r>
          </w:p>
        </w:tc>
        <w:tc>
          <w:tcPr>
            <w:tcW w:w="404" w:type="pct"/>
            <w:tcBorders>
              <w:top w:val="nil"/>
              <w:left w:val="nil"/>
              <w:bottom w:val="single" w:sz="4" w:space="0" w:color="auto"/>
              <w:right w:val="single" w:sz="4" w:space="0" w:color="auto"/>
            </w:tcBorders>
            <w:shd w:val="clear" w:color="auto" w:fill="auto"/>
            <w:vAlign w:val="center"/>
            <w:hideMark/>
          </w:tcPr>
          <w:p w14:paraId="3A611BAF"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2,95</w:t>
            </w:r>
          </w:p>
        </w:tc>
        <w:tc>
          <w:tcPr>
            <w:tcW w:w="404" w:type="pct"/>
            <w:tcBorders>
              <w:top w:val="nil"/>
              <w:left w:val="nil"/>
              <w:bottom w:val="single" w:sz="4" w:space="0" w:color="auto"/>
              <w:right w:val="single" w:sz="4" w:space="0" w:color="auto"/>
            </w:tcBorders>
            <w:shd w:val="clear" w:color="auto" w:fill="auto"/>
            <w:vAlign w:val="center"/>
            <w:hideMark/>
          </w:tcPr>
          <w:p w14:paraId="3A6FDE85"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70B854E7"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3,43</w:t>
            </w:r>
          </w:p>
        </w:tc>
      </w:tr>
      <w:tr w:rsidR="000A4943" w:rsidRPr="001D093C" w14:paraId="7EF85A11" w14:textId="77777777" w:rsidTr="00B65108">
        <w:trPr>
          <w:trHeight w:val="684"/>
        </w:trPr>
        <w:tc>
          <w:tcPr>
            <w:tcW w:w="3037" w:type="pct"/>
            <w:gridSpan w:val="2"/>
            <w:tcBorders>
              <w:top w:val="nil"/>
              <w:left w:val="nil"/>
              <w:bottom w:val="single" w:sz="4" w:space="0" w:color="000000"/>
              <w:right w:val="nil"/>
            </w:tcBorders>
            <w:shd w:val="clear" w:color="000000" w:fill="CCCCCC"/>
            <w:vAlign w:val="center"/>
            <w:hideMark/>
          </w:tcPr>
          <w:p w14:paraId="4D1D2D33"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35BEDEB"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28C33BE5"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4,49</w:t>
            </w:r>
          </w:p>
        </w:tc>
        <w:tc>
          <w:tcPr>
            <w:tcW w:w="404" w:type="pct"/>
            <w:tcBorders>
              <w:top w:val="nil"/>
              <w:left w:val="nil"/>
              <w:bottom w:val="single" w:sz="4" w:space="0" w:color="auto"/>
              <w:right w:val="single" w:sz="4" w:space="0" w:color="auto"/>
            </w:tcBorders>
            <w:shd w:val="clear" w:color="auto" w:fill="auto"/>
            <w:vAlign w:val="center"/>
            <w:hideMark/>
          </w:tcPr>
          <w:p w14:paraId="64DD8CD7"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3,99</w:t>
            </w:r>
          </w:p>
        </w:tc>
        <w:tc>
          <w:tcPr>
            <w:tcW w:w="404" w:type="pct"/>
            <w:tcBorders>
              <w:top w:val="nil"/>
              <w:left w:val="nil"/>
              <w:bottom w:val="single" w:sz="4" w:space="0" w:color="auto"/>
              <w:right w:val="single" w:sz="4" w:space="0" w:color="auto"/>
            </w:tcBorders>
            <w:shd w:val="clear" w:color="auto" w:fill="auto"/>
            <w:vAlign w:val="center"/>
            <w:hideMark/>
          </w:tcPr>
          <w:p w14:paraId="22710D57"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66199865"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4,54</w:t>
            </w:r>
          </w:p>
        </w:tc>
      </w:tr>
      <w:tr w:rsidR="000A4943" w:rsidRPr="001D093C" w14:paraId="1D2EC25A" w14:textId="77777777" w:rsidTr="00B65108">
        <w:trPr>
          <w:trHeight w:val="600"/>
        </w:trPr>
        <w:tc>
          <w:tcPr>
            <w:tcW w:w="3037" w:type="pct"/>
            <w:gridSpan w:val="2"/>
            <w:tcBorders>
              <w:top w:val="nil"/>
              <w:left w:val="nil"/>
              <w:bottom w:val="single" w:sz="4" w:space="0" w:color="000000"/>
              <w:right w:val="nil"/>
            </w:tcBorders>
            <w:shd w:val="clear" w:color="000000" w:fill="CCCCCC"/>
            <w:vAlign w:val="center"/>
            <w:hideMark/>
          </w:tcPr>
          <w:p w14:paraId="18A4364A"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EC36EF3"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5A8457B6"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4,56</w:t>
            </w:r>
          </w:p>
        </w:tc>
        <w:tc>
          <w:tcPr>
            <w:tcW w:w="404" w:type="pct"/>
            <w:tcBorders>
              <w:top w:val="nil"/>
              <w:left w:val="nil"/>
              <w:bottom w:val="single" w:sz="4" w:space="0" w:color="auto"/>
              <w:right w:val="single" w:sz="4" w:space="0" w:color="auto"/>
            </w:tcBorders>
            <w:shd w:val="clear" w:color="auto" w:fill="auto"/>
            <w:vAlign w:val="center"/>
            <w:hideMark/>
          </w:tcPr>
          <w:p w14:paraId="2225CFA3"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4,89</w:t>
            </w:r>
          </w:p>
        </w:tc>
        <w:tc>
          <w:tcPr>
            <w:tcW w:w="404" w:type="pct"/>
            <w:tcBorders>
              <w:top w:val="nil"/>
              <w:left w:val="nil"/>
              <w:bottom w:val="single" w:sz="4" w:space="0" w:color="auto"/>
              <w:right w:val="single" w:sz="4" w:space="0" w:color="auto"/>
            </w:tcBorders>
            <w:shd w:val="clear" w:color="auto" w:fill="auto"/>
            <w:vAlign w:val="center"/>
            <w:hideMark/>
          </w:tcPr>
          <w:p w14:paraId="1F9B76FC"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2A306210"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4,74</w:t>
            </w:r>
          </w:p>
        </w:tc>
      </w:tr>
      <w:tr w:rsidR="000A4943" w:rsidRPr="001D093C" w14:paraId="166A5DE5" w14:textId="77777777" w:rsidTr="00B65108">
        <w:trPr>
          <w:trHeight w:val="288"/>
        </w:trPr>
        <w:tc>
          <w:tcPr>
            <w:tcW w:w="3037" w:type="pct"/>
            <w:gridSpan w:val="2"/>
            <w:tcBorders>
              <w:top w:val="nil"/>
              <w:left w:val="nil"/>
              <w:bottom w:val="single" w:sz="4" w:space="0" w:color="000000"/>
              <w:right w:val="nil"/>
            </w:tcBorders>
            <w:shd w:val="clear" w:color="000000" w:fill="CCCCCC"/>
            <w:vAlign w:val="center"/>
            <w:hideMark/>
          </w:tcPr>
          <w:p w14:paraId="25E2B590"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55C1801"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404" w:type="pct"/>
            <w:tcBorders>
              <w:top w:val="nil"/>
              <w:left w:val="nil"/>
              <w:bottom w:val="single" w:sz="4" w:space="0" w:color="auto"/>
              <w:right w:val="single" w:sz="4" w:space="0" w:color="auto"/>
            </w:tcBorders>
            <w:shd w:val="clear" w:color="auto" w:fill="auto"/>
            <w:vAlign w:val="center"/>
            <w:hideMark/>
          </w:tcPr>
          <w:p w14:paraId="391184C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4,31</w:t>
            </w:r>
          </w:p>
        </w:tc>
        <w:tc>
          <w:tcPr>
            <w:tcW w:w="404" w:type="pct"/>
            <w:tcBorders>
              <w:top w:val="nil"/>
              <w:left w:val="nil"/>
              <w:bottom w:val="single" w:sz="4" w:space="0" w:color="auto"/>
              <w:right w:val="single" w:sz="4" w:space="0" w:color="auto"/>
            </w:tcBorders>
            <w:shd w:val="clear" w:color="auto" w:fill="auto"/>
            <w:vAlign w:val="center"/>
            <w:hideMark/>
          </w:tcPr>
          <w:p w14:paraId="70208D47"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4,45</w:t>
            </w:r>
          </w:p>
        </w:tc>
        <w:tc>
          <w:tcPr>
            <w:tcW w:w="404" w:type="pct"/>
            <w:tcBorders>
              <w:top w:val="nil"/>
              <w:left w:val="nil"/>
              <w:bottom w:val="single" w:sz="4" w:space="0" w:color="auto"/>
              <w:right w:val="single" w:sz="4" w:space="0" w:color="auto"/>
            </w:tcBorders>
            <w:shd w:val="clear" w:color="auto" w:fill="auto"/>
            <w:vAlign w:val="center"/>
            <w:hideMark/>
          </w:tcPr>
          <w:p w14:paraId="2BD8D0B5"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37CB8998"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3,75</w:t>
            </w:r>
          </w:p>
        </w:tc>
      </w:tr>
      <w:tr w:rsidR="000A4943" w:rsidRPr="001D093C" w14:paraId="0248DD3A" w14:textId="77777777" w:rsidTr="00B65108">
        <w:trPr>
          <w:trHeight w:val="600"/>
        </w:trPr>
        <w:tc>
          <w:tcPr>
            <w:tcW w:w="3037" w:type="pct"/>
            <w:gridSpan w:val="2"/>
            <w:tcBorders>
              <w:top w:val="nil"/>
              <w:left w:val="nil"/>
              <w:bottom w:val="single" w:sz="4" w:space="0" w:color="000000"/>
              <w:right w:val="nil"/>
            </w:tcBorders>
            <w:shd w:val="clear" w:color="000000" w:fill="CCCCCC"/>
            <w:vAlign w:val="center"/>
            <w:hideMark/>
          </w:tcPr>
          <w:p w14:paraId="09A0CD39" w14:textId="77777777" w:rsidR="000A4943" w:rsidRPr="001D093C" w:rsidRDefault="000A4943" w:rsidP="000A494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EDAB91"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2,8</w:t>
            </w:r>
          </w:p>
        </w:tc>
        <w:tc>
          <w:tcPr>
            <w:tcW w:w="404" w:type="pct"/>
            <w:tcBorders>
              <w:top w:val="nil"/>
              <w:left w:val="nil"/>
              <w:bottom w:val="single" w:sz="4" w:space="0" w:color="auto"/>
              <w:right w:val="single" w:sz="4" w:space="0" w:color="auto"/>
            </w:tcBorders>
            <w:shd w:val="clear" w:color="auto" w:fill="auto"/>
            <w:vAlign w:val="center"/>
            <w:hideMark/>
          </w:tcPr>
          <w:p w14:paraId="50DBCBCA"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3,47</w:t>
            </w:r>
          </w:p>
        </w:tc>
        <w:tc>
          <w:tcPr>
            <w:tcW w:w="404" w:type="pct"/>
            <w:tcBorders>
              <w:top w:val="nil"/>
              <w:left w:val="nil"/>
              <w:bottom w:val="single" w:sz="4" w:space="0" w:color="auto"/>
              <w:right w:val="single" w:sz="4" w:space="0" w:color="auto"/>
            </w:tcBorders>
            <w:shd w:val="clear" w:color="auto" w:fill="auto"/>
            <w:vAlign w:val="center"/>
            <w:hideMark/>
          </w:tcPr>
          <w:p w14:paraId="1B25F6CD"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2,54</w:t>
            </w:r>
          </w:p>
        </w:tc>
        <w:tc>
          <w:tcPr>
            <w:tcW w:w="404" w:type="pct"/>
            <w:tcBorders>
              <w:top w:val="nil"/>
              <w:left w:val="nil"/>
              <w:bottom w:val="single" w:sz="4" w:space="0" w:color="auto"/>
              <w:right w:val="single" w:sz="4" w:space="0" w:color="auto"/>
            </w:tcBorders>
            <w:shd w:val="clear" w:color="auto" w:fill="auto"/>
            <w:vAlign w:val="center"/>
            <w:hideMark/>
          </w:tcPr>
          <w:p w14:paraId="1A79D7F6"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w:t>
            </w:r>
          </w:p>
        </w:tc>
        <w:tc>
          <w:tcPr>
            <w:tcW w:w="348" w:type="pct"/>
            <w:tcBorders>
              <w:top w:val="nil"/>
              <w:left w:val="nil"/>
              <w:bottom w:val="single" w:sz="4" w:space="0" w:color="auto"/>
              <w:right w:val="single" w:sz="4" w:space="0" w:color="auto"/>
            </w:tcBorders>
            <w:shd w:val="clear" w:color="auto" w:fill="auto"/>
            <w:vAlign w:val="center"/>
            <w:hideMark/>
          </w:tcPr>
          <w:p w14:paraId="4F5EC8C4" w14:textId="77777777" w:rsidR="000A4943" w:rsidRPr="000A4943" w:rsidRDefault="000A4943" w:rsidP="000A4943">
            <w:pPr>
              <w:spacing w:after="0" w:line="240" w:lineRule="auto"/>
              <w:jc w:val="center"/>
              <w:rPr>
                <w:rFonts w:asciiTheme="minorHAnsi" w:eastAsia="Times New Roman" w:hAnsiTheme="minorHAnsi"/>
                <w:color w:val="000000"/>
                <w:sz w:val="16"/>
                <w:szCs w:val="16"/>
                <w:lang w:eastAsia="es-ES"/>
              </w:rPr>
            </w:pPr>
            <w:r w:rsidRPr="000A4943">
              <w:rPr>
                <w:color w:val="000000"/>
                <w:sz w:val="16"/>
                <w:szCs w:val="16"/>
              </w:rPr>
              <w:t>3,53</w:t>
            </w:r>
          </w:p>
        </w:tc>
      </w:tr>
    </w:tbl>
    <w:p w14:paraId="405B9B44" w14:textId="77777777" w:rsidR="009A03CA" w:rsidRDefault="009A03CA" w:rsidP="006A3AAA">
      <w:pPr>
        <w:spacing w:after="0"/>
      </w:pPr>
    </w:p>
    <w:p w14:paraId="15604518" w14:textId="77777777" w:rsidR="00DA5A09" w:rsidRDefault="00DA5A09" w:rsidP="006A3AAA">
      <w:pPr>
        <w:spacing w:after="0"/>
      </w:pPr>
    </w:p>
    <w:p w14:paraId="2947557B" w14:textId="4B3FFCBF" w:rsidR="007F11A6" w:rsidRPr="00AE14B1" w:rsidRDefault="001E1B42" w:rsidP="00AE14B1">
      <w:pPr>
        <w:spacing w:after="0" w:line="240" w:lineRule="auto"/>
        <w:jc w:val="both"/>
        <w:rPr>
          <w:sz w:val="20"/>
          <w:szCs w:val="20"/>
        </w:rPr>
      </w:pPr>
      <w:r w:rsidRPr="00AE14B1">
        <w:rPr>
          <w:sz w:val="20"/>
          <w:szCs w:val="20"/>
        </w:rPr>
        <w:t xml:space="preserve">El número de plazas ofertadas por el máster en el curso 2020-21 ha sido de: 35 en la UCA y </w:t>
      </w:r>
      <w:r w:rsidR="007E6099" w:rsidRPr="00AE14B1">
        <w:rPr>
          <w:sz w:val="20"/>
          <w:szCs w:val="20"/>
        </w:rPr>
        <w:t>30 en la UCO</w:t>
      </w:r>
      <w:r w:rsidRPr="00AE14B1">
        <w:rPr>
          <w:sz w:val="20"/>
          <w:szCs w:val="20"/>
        </w:rPr>
        <w:t xml:space="preserve">. </w:t>
      </w:r>
      <w:r w:rsidR="007E6099" w:rsidRPr="00AE14B1">
        <w:rPr>
          <w:sz w:val="20"/>
          <w:szCs w:val="20"/>
        </w:rPr>
        <w:t xml:space="preserve">En el caso de la UCA se cubrieron 32 plazas. De estos 25 alumnos eligieron la especialidad de Producción Agroalimentaria y 7 la de Vitivinicultura en Climas Cálidos. En el caso de la UCO se matricularon </w:t>
      </w:r>
      <w:r w:rsidR="008A0429" w:rsidRPr="00AE14B1">
        <w:rPr>
          <w:sz w:val="20"/>
          <w:szCs w:val="20"/>
        </w:rPr>
        <w:t xml:space="preserve">un total de </w:t>
      </w:r>
      <w:r w:rsidR="00D974BC" w:rsidRPr="00AE14B1">
        <w:rPr>
          <w:sz w:val="20"/>
          <w:szCs w:val="20"/>
        </w:rPr>
        <w:t>3</w:t>
      </w:r>
      <w:r w:rsidR="00CE3569">
        <w:rPr>
          <w:sz w:val="20"/>
          <w:szCs w:val="20"/>
        </w:rPr>
        <w:t>2</w:t>
      </w:r>
      <w:r w:rsidR="00D974BC" w:rsidRPr="00AE14B1">
        <w:rPr>
          <w:sz w:val="20"/>
          <w:szCs w:val="20"/>
        </w:rPr>
        <w:t xml:space="preserve"> </w:t>
      </w:r>
      <w:r w:rsidR="008A0429" w:rsidRPr="00AE14B1">
        <w:rPr>
          <w:sz w:val="20"/>
          <w:szCs w:val="20"/>
        </w:rPr>
        <w:t>alumnos</w:t>
      </w:r>
      <w:r w:rsidR="00D974BC" w:rsidRPr="00AE14B1">
        <w:rPr>
          <w:sz w:val="20"/>
          <w:szCs w:val="20"/>
        </w:rPr>
        <w:t xml:space="preserve"> de nueva matriculación</w:t>
      </w:r>
      <w:r w:rsidR="008A0429" w:rsidRPr="00AE14B1">
        <w:rPr>
          <w:sz w:val="20"/>
          <w:szCs w:val="20"/>
        </w:rPr>
        <w:t xml:space="preserve">. Se puede concluir de estas cifras que la oferta de plazas se adecua a la demanda. El grado de diversidad de alumnos que cursan este máster es bastante alto en cuanto a su titulación de origen y </w:t>
      </w:r>
      <w:r w:rsidR="008A0429" w:rsidRPr="00AE14B1">
        <w:rPr>
          <w:sz w:val="20"/>
          <w:szCs w:val="20"/>
        </w:rPr>
        <w:lastRenderedPageBreak/>
        <w:t>lugar de procedencia. En cuanto al género, en el curso 2020/21 el número de mujeres que cursaron el título en la UCA fue 19 frente a 13 hombres</w:t>
      </w:r>
      <w:r w:rsidR="00D974BC">
        <w:rPr>
          <w:sz w:val="20"/>
          <w:szCs w:val="20"/>
        </w:rPr>
        <w:t xml:space="preserve"> y en la UCO fueron 2</w:t>
      </w:r>
      <w:r w:rsidR="00CE3569">
        <w:rPr>
          <w:sz w:val="20"/>
          <w:szCs w:val="20"/>
        </w:rPr>
        <w:t>0</w:t>
      </w:r>
      <w:r w:rsidR="00D974BC">
        <w:rPr>
          <w:sz w:val="20"/>
          <w:szCs w:val="20"/>
        </w:rPr>
        <w:t xml:space="preserve"> mujeres y 1</w:t>
      </w:r>
      <w:r w:rsidR="00CE3569">
        <w:rPr>
          <w:sz w:val="20"/>
          <w:szCs w:val="20"/>
        </w:rPr>
        <w:t>2</w:t>
      </w:r>
      <w:r w:rsidR="00D974BC">
        <w:rPr>
          <w:sz w:val="20"/>
          <w:szCs w:val="20"/>
        </w:rPr>
        <w:t xml:space="preserve"> hombres</w:t>
      </w:r>
      <w:r w:rsidR="008A0429" w:rsidRPr="00AE14B1">
        <w:rPr>
          <w:sz w:val="20"/>
          <w:szCs w:val="20"/>
        </w:rPr>
        <w:t xml:space="preserve">. En cuanto a la universidad de origen, </w:t>
      </w:r>
      <w:r w:rsidR="00D974BC">
        <w:rPr>
          <w:sz w:val="20"/>
          <w:szCs w:val="20"/>
        </w:rPr>
        <w:t xml:space="preserve">en la UCA, </w:t>
      </w:r>
      <w:r w:rsidR="008A0429" w:rsidRPr="00AE14B1">
        <w:rPr>
          <w:sz w:val="20"/>
          <w:szCs w:val="20"/>
        </w:rPr>
        <w:t>nos encontramos con alumnos preferentemente de la Universidad de Cádiz (1</w:t>
      </w:r>
      <w:r w:rsidR="00D44B1F" w:rsidRPr="00AE14B1">
        <w:rPr>
          <w:sz w:val="20"/>
          <w:szCs w:val="20"/>
        </w:rPr>
        <w:t>1</w:t>
      </w:r>
      <w:r w:rsidR="008A0429" w:rsidRPr="00AE14B1">
        <w:rPr>
          <w:sz w:val="20"/>
          <w:szCs w:val="20"/>
        </w:rPr>
        <w:t xml:space="preserve"> alumnos, </w:t>
      </w:r>
      <w:r w:rsidR="00D44B1F" w:rsidRPr="00AE14B1">
        <w:rPr>
          <w:sz w:val="20"/>
          <w:szCs w:val="20"/>
        </w:rPr>
        <w:t>34</w:t>
      </w:r>
      <w:r w:rsidR="008A0429" w:rsidRPr="00AE14B1">
        <w:rPr>
          <w:sz w:val="20"/>
          <w:szCs w:val="20"/>
        </w:rPr>
        <w:t>,</w:t>
      </w:r>
      <w:r w:rsidR="00D44B1F" w:rsidRPr="00AE14B1">
        <w:rPr>
          <w:sz w:val="20"/>
          <w:szCs w:val="20"/>
        </w:rPr>
        <w:t>38</w:t>
      </w:r>
      <w:r w:rsidR="008A0429" w:rsidRPr="00AE14B1">
        <w:rPr>
          <w:sz w:val="20"/>
          <w:szCs w:val="20"/>
        </w:rPr>
        <w:t xml:space="preserve">%), a los que les siguen alumnos de otras universidades españolas y </w:t>
      </w:r>
      <w:r w:rsidR="00D44B1F" w:rsidRPr="00AE14B1">
        <w:rPr>
          <w:sz w:val="20"/>
          <w:szCs w:val="20"/>
        </w:rPr>
        <w:t>cinco</w:t>
      </w:r>
      <w:r w:rsidR="008A0429" w:rsidRPr="00AE14B1">
        <w:rPr>
          <w:sz w:val="20"/>
          <w:szCs w:val="20"/>
        </w:rPr>
        <w:t xml:space="preserve"> alumnos extranjeros procedentes de </w:t>
      </w:r>
      <w:r w:rsidR="00D44B1F" w:rsidRPr="00AE14B1">
        <w:rPr>
          <w:sz w:val="20"/>
          <w:szCs w:val="20"/>
        </w:rPr>
        <w:t>Marruecos, Nigeria</w:t>
      </w:r>
      <w:r w:rsidR="008A0429" w:rsidRPr="00AE14B1">
        <w:rPr>
          <w:sz w:val="20"/>
          <w:szCs w:val="20"/>
        </w:rPr>
        <w:t xml:space="preserve"> y </w:t>
      </w:r>
      <w:r w:rsidR="00D44B1F" w:rsidRPr="00AE14B1">
        <w:rPr>
          <w:sz w:val="20"/>
          <w:szCs w:val="20"/>
        </w:rPr>
        <w:t>Ecuador</w:t>
      </w:r>
      <w:r w:rsidR="008A0429" w:rsidRPr="00AE14B1">
        <w:rPr>
          <w:sz w:val="20"/>
          <w:szCs w:val="20"/>
        </w:rPr>
        <w:t xml:space="preserve">. </w:t>
      </w:r>
      <w:r w:rsidR="00D974BC">
        <w:rPr>
          <w:sz w:val="20"/>
          <w:szCs w:val="20"/>
        </w:rPr>
        <w:t xml:space="preserve">En la UCO, 25 alumnos procedían de la Universidad de Córdoba (76%), 4 de universidades españolas (12%) y el resto extranjeras. Esta proporción en la UCO no suele ser la habitual, </w:t>
      </w:r>
      <w:r w:rsidR="00CE3569">
        <w:rPr>
          <w:sz w:val="20"/>
          <w:szCs w:val="20"/>
        </w:rPr>
        <w:t xml:space="preserve">que suele tener un </w:t>
      </w:r>
      <w:r w:rsidR="00D974BC">
        <w:rPr>
          <w:sz w:val="20"/>
          <w:szCs w:val="20"/>
        </w:rPr>
        <w:t xml:space="preserve">mayor número de alumnos de fuera de Córdoba y de España, pero interpretamos que es un efecto de las restricciones de la movilidad por la pandemia. </w:t>
      </w:r>
      <w:r w:rsidR="008A0429" w:rsidRPr="00AE14B1">
        <w:rPr>
          <w:sz w:val="20"/>
          <w:szCs w:val="20"/>
        </w:rPr>
        <w:t>De los alumnos matriculados en 2020-21, quedaron pendientes de defender su TFM 1</w:t>
      </w:r>
      <w:r w:rsidR="004C6765" w:rsidRPr="00AE14B1">
        <w:rPr>
          <w:sz w:val="20"/>
          <w:szCs w:val="20"/>
        </w:rPr>
        <w:t>5</w:t>
      </w:r>
      <w:r w:rsidR="008A0429" w:rsidRPr="00AE14B1">
        <w:rPr>
          <w:sz w:val="20"/>
          <w:szCs w:val="20"/>
        </w:rPr>
        <w:t xml:space="preserve"> alumnos</w:t>
      </w:r>
      <w:r w:rsidR="00D974BC">
        <w:rPr>
          <w:sz w:val="20"/>
          <w:szCs w:val="20"/>
        </w:rPr>
        <w:t xml:space="preserve"> en ambas universidades</w:t>
      </w:r>
      <w:r w:rsidR="00CE3569">
        <w:rPr>
          <w:sz w:val="20"/>
          <w:szCs w:val="20"/>
        </w:rPr>
        <w:t xml:space="preserve"> </w:t>
      </w:r>
      <w:r w:rsidR="00CE3569" w:rsidRPr="00CE3569">
        <w:rPr>
          <w:sz w:val="20"/>
          <w:szCs w:val="20"/>
        </w:rPr>
        <w:t>y, en la UCO, la totalidad del alumnado defendieron y superaron el TFM</w:t>
      </w:r>
      <w:r w:rsidR="008A0429" w:rsidRPr="00AE14B1">
        <w:rPr>
          <w:sz w:val="20"/>
          <w:szCs w:val="20"/>
        </w:rPr>
        <w:t xml:space="preserve">. Algunos de estos alumnos </w:t>
      </w:r>
      <w:r w:rsidR="00772FC7" w:rsidRPr="00AE14B1">
        <w:rPr>
          <w:sz w:val="20"/>
          <w:szCs w:val="20"/>
        </w:rPr>
        <w:t>retrasan</w:t>
      </w:r>
      <w:r w:rsidR="008A0429" w:rsidRPr="00AE14B1">
        <w:rPr>
          <w:sz w:val="20"/>
          <w:szCs w:val="20"/>
        </w:rPr>
        <w:t xml:space="preserve"> sus prácticas en empresa y </w:t>
      </w:r>
      <w:r w:rsidR="00772FC7" w:rsidRPr="00AE14B1">
        <w:rPr>
          <w:sz w:val="20"/>
          <w:szCs w:val="20"/>
        </w:rPr>
        <w:t xml:space="preserve">la </w:t>
      </w:r>
      <w:r w:rsidR="008A0429" w:rsidRPr="00AE14B1">
        <w:rPr>
          <w:sz w:val="20"/>
          <w:szCs w:val="20"/>
        </w:rPr>
        <w:t>defensa de</w:t>
      </w:r>
      <w:r w:rsidR="00772FC7" w:rsidRPr="00AE14B1">
        <w:rPr>
          <w:sz w:val="20"/>
          <w:szCs w:val="20"/>
        </w:rPr>
        <w:t>l</w:t>
      </w:r>
      <w:r w:rsidR="008A0429" w:rsidRPr="00AE14B1">
        <w:rPr>
          <w:sz w:val="20"/>
          <w:szCs w:val="20"/>
        </w:rPr>
        <w:t xml:space="preserve"> TFM. </w:t>
      </w:r>
      <w:r w:rsidR="004C6765" w:rsidRPr="00AE14B1">
        <w:rPr>
          <w:sz w:val="20"/>
          <w:szCs w:val="20"/>
        </w:rPr>
        <w:t xml:space="preserve">Los alumnos matriculados en el perfil profesional </w:t>
      </w:r>
      <w:r w:rsidR="008A0429" w:rsidRPr="00AE14B1">
        <w:rPr>
          <w:sz w:val="20"/>
          <w:szCs w:val="20"/>
        </w:rPr>
        <w:t>el TFM versa sobre un proyecto de mejora adaptado a la empresa en la que desarrolla las prácticas el alumno</w:t>
      </w:r>
      <w:r w:rsidR="004C6765" w:rsidRPr="00AE14B1">
        <w:rPr>
          <w:sz w:val="20"/>
          <w:szCs w:val="20"/>
        </w:rPr>
        <w:t xml:space="preserve"> y algunos alumnos del perfil investigador, están empleados o se han acogido a becas que le limitan defender el mismo año en el que se matriculan</w:t>
      </w:r>
      <w:r w:rsidR="008A0429" w:rsidRPr="00AE14B1">
        <w:rPr>
          <w:sz w:val="20"/>
          <w:szCs w:val="20"/>
        </w:rPr>
        <w:t xml:space="preserve">. Estos hechos </w:t>
      </w:r>
      <w:r w:rsidR="00950A0E" w:rsidRPr="00AE14B1">
        <w:rPr>
          <w:sz w:val="20"/>
          <w:szCs w:val="20"/>
        </w:rPr>
        <w:t>influyen en</w:t>
      </w:r>
      <w:r w:rsidR="008A0429" w:rsidRPr="00AE14B1">
        <w:rPr>
          <w:sz w:val="20"/>
          <w:szCs w:val="20"/>
        </w:rPr>
        <w:t xml:space="preserve"> la tasa de graduación</w:t>
      </w:r>
      <w:r w:rsidR="00950A0E" w:rsidRPr="00AE14B1">
        <w:rPr>
          <w:sz w:val="20"/>
          <w:szCs w:val="20"/>
        </w:rPr>
        <w:t>,</w:t>
      </w:r>
      <w:r w:rsidR="008A0429" w:rsidRPr="00AE14B1">
        <w:rPr>
          <w:sz w:val="20"/>
          <w:szCs w:val="20"/>
        </w:rPr>
        <w:t xml:space="preserve"> que se ve afectada por las particularidades de este máster en el que los alumnos mayoritariamente eligen el perfil profesion</w:t>
      </w:r>
      <w:r w:rsidR="007407C7">
        <w:rPr>
          <w:sz w:val="20"/>
          <w:szCs w:val="20"/>
        </w:rPr>
        <w:t xml:space="preserve">al y desarrollan sus </w:t>
      </w:r>
      <w:r w:rsidR="008A0429" w:rsidRPr="00AE14B1">
        <w:rPr>
          <w:sz w:val="20"/>
          <w:szCs w:val="20"/>
        </w:rPr>
        <w:t>prácticas en julio/agosto, dificultando que acaben y defiendan el TFM en el curso académico en el que se matriculan por primera vez.</w:t>
      </w:r>
    </w:p>
    <w:p w14:paraId="30A70628" w14:textId="77777777" w:rsidR="00721769" w:rsidRDefault="00721769" w:rsidP="007F11A6">
      <w:pPr>
        <w:spacing w:after="0"/>
        <w:jc w:val="both"/>
      </w:pPr>
    </w:p>
    <w:p w14:paraId="12A40865" w14:textId="0FD89D69" w:rsidR="00DA5A09" w:rsidRPr="00AE14B1" w:rsidRDefault="008A0429" w:rsidP="00AE14B1">
      <w:pPr>
        <w:spacing w:after="0" w:line="240" w:lineRule="auto"/>
        <w:jc w:val="both"/>
        <w:rPr>
          <w:sz w:val="20"/>
          <w:szCs w:val="20"/>
        </w:rPr>
      </w:pPr>
      <w:r w:rsidRPr="00AE14B1">
        <w:rPr>
          <w:sz w:val="20"/>
          <w:szCs w:val="20"/>
        </w:rPr>
        <w:t>En el caso de la UCA, durante el curso 20</w:t>
      </w:r>
      <w:r w:rsidR="004C6765" w:rsidRPr="00AE14B1">
        <w:rPr>
          <w:sz w:val="20"/>
          <w:szCs w:val="20"/>
        </w:rPr>
        <w:t>20/21</w:t>
      </w:r>
      <w:r w:rsidR="007F11A6" w:rsidRPr="00AE14B1">
        <w:rPr>
          <w:sz w:val="20"/>
          <w:szCs w:val="20"/>
        </w:rPr>
        <w:t>, un total de 25</w:t>
      </w:r>
      <w:r w:rsidRPr="00AE14B1">
        <w:rPr>
          <w:sz w:val="20"/>
          <w:szCs w:val="20"/>
        </w:rPr>
        <w:t xml:space="preserve"> alumnos se matricularon del perfil profesional del</w:t>
      </w:r>
      <w:r w:rsidR="007F11A6" w:rsidRPr="00AE14B1">
        <w:rPr>
          <w:sz w:val="20"/>
          <w:szCs w:val="20"/>
        </w:rPr>
        <w:t xml:space="preserve"> máster y solo 7</w:t>
      </w:r>
      <w:r w:rsidRPr="00AE14B1">
        <w:rPr>
          <w:sz w:val="20"/>
          <w:szCs w:val="20"/>
        </w:rPr>
        <w:t xml:space="preserve"> </w:t>
      </w:r>
      <w:r w:rsidR="007F11A6" w:rsidRPr="00AE14B1">
        <w:rPr>
          <w:sz w:val="20"/>
          <w:szCs w:val="20"/>
        </w:rPr>
        <w:t xml:space="preserve">en el de iniciación a la investigación. </w:t>
      </w:r>
      <w:r w:rsidR="00721769" w:rsidRPr="00AE14B1">
        <w:rPr>
          <w:sz w:val="20"/>
          <w:szCs w:val="20"/>
        </w:rPr>
        <w:t>Además</w:t>
      </w:r>
      <w:r w:rsidR="00950A0E">
        <w:rPr>
          <w:sz w:val="20"/>
          <w:szCs w:val="20"/>
        </w:rPr>
        <w:t>,</w:t>
      </w:r>
      <w:r w:rsidR="00721769" w:rsidRPr="00AE14B1">
        <w:rPr>
          <w:sz w:val="20"/>
          <w:szCs w:val="20"/>
        </w:rPr>
        <w:t xml:space="preserve"> 4 alumnos de la UCA realizaron prácticas extracurriculares</w:t>
      </w:r>
      <w:r w:rsidR="002247AA" w:rsidRPr="00AE14B1">
        <w:rPr>
          <w:sz w:val="20"/>
          <w:szCs w:val="20"/>
        </w:rPr>
        <w:t>, algunos en las mismas empresas en las que han desarrollado sus prácticas curriculares</w:t>
      </w:r>
      <w:r w:rsidR="00721769" w:rsidRPr="00AE14B1">
        <w:rPr>
          <w:sz w:val="20"/>
          <w:szCs w:val="20"/>
        </w:rPr>
        <w:t>.</w:t>
      </w:r>
      <w:r w:rsidR="002247AA" w:rsidRPr="00AE14B1">
        <w:rPr>
          <w:sz w:val="20"/>
          <w:szCs w:val="20"/>
        </w:rPr>
        <w:t xml:space="preserve"> </w:t>
      </w:r>
      <w:r w:rsidR="00D974BC">
        <w:rPr>
          <w:sz w:val="20"/>
          <w:szCs w:val="20"/>
        </w:rPr>
        <w:t>En el caso de la UCO, 2</w:t>
      </w:r>
      <w:r w:rsidR="00CE3569">
        <w:rPr>
          <w:sz w:val="20"/>
          <w:szCs w:val="20"/>
        </w:rPr>
        <w:t>4</w:t>
      </w:r>
      <w:r w:rsidR="00D974BC">
        <w:rPr>
          <w:sz w:val="20"/>
          <w:szCs w:val="20"/>
        </w:rPr>
        <w:t xml:space="preserve"> alumnos fueron del perfil profesional y 8 de investigación. </w:t>
      </w:r>
      <w:r w:rsidR="002247AA" w:rsidRPr="00AE14B1">
        <w:rPr>
          <w:sz w:val="20"/>
          <w:szCs w:val="20"/>
        </w:rPr>
        <w:t>Esta preferencia que muestran los alumnos por el perfil profesional y la realización de prácticas extracurriculares, unido a que algunos alumnos que cursan el máster están trabajando y no pueden compatibilizar al 100% los estudios con sus obligaciones laborales y personales</w:t>
      </w:r>
      <w:r w:rsidR="00C029DD" w:rsidRPr="00AE14B1">
        <w:rPr>
          <w:sz w:val="20"/>
          <w:szCs w:val="20"/>
        </w:rPr>
        <w:t>,</w:t>
      </w:r>
      <w:r w:rsidR="002247AA" w:rsidRPr="00AE14B1">
        <w:rPr>
          <w:sz w:val="20"/>
          <w:szCs w:val="20"/>
        </w:rPr>
        <w:t xml:space="preserve"> influye en </w:t>
      </w:r>
      <w:r w:rsidR="00C029DD" w:rsidRPr="00AE14B1">
        <w:rPr>
          <w:sz w:val="20"/>
          <w:szCs w:val="20"/>
        </w:rPr>
        <w:t xml:space="preserve">que </w:t>
      </w:r>
      <w:r w:rsidR="002247AA" w:rsidRPr="00AE14B1">
        <w:rPr>
          <w:sz w:val="20"/>
          <w:szCs w:val="20"/>
        </w:rPr>
        <w:t>los alumnos no defiendan su TFM hasta el curso siguiente (convocatoria de diciembre o febrero), como se refleja en la tasa de graduación. Este indicador está por debajo de los resultados que se recogen en la memoria del título (</w:t>
      </w:r>
      <w:r w:rsidR="00C029DD" w:rsidRPr="00AE14B1">
        <w:rPr>
          <w:sz w:val="20"/>
          <w:szCs w:val="20"/>
        </w:rPr>
        <w:t xml:space="preserve">debería de alcanzar como </w:t>
      </w:r>
      <w:r w:rsidR="002247AA" w:rsidRPr="00AE14B1">
        <w:rPr>
          <w:sz w:val="20"/>
          <w:szCs w:val="20"/>
        </w:rPr>
        <w:t>mínim</w:t>
      </w:r>
      <w:r w:rsidR="00C029DD" w:rsidRPr="00AE14B1">
        <w:rPr>
          <w:sz w:val="20"/>
          <w:szCs w:val="20"/>
        </w:rPr>
        <w:t>o</w:t>
      </w:r>
      <w:r w:rsidR="002247AA" w:rsidRPr="00AE14B1">
        <w:rPr>
          <w:sz w:val="20"/>
          <w:szCs w:val="20"/>
        </w:rPr>
        <w:t xml:space="preserve"> </w:t>
      </w:r>
      <w:r w:rsidR="00C029DD" w:rsidRPr="00AE14B1">
        <w:rPr>
          <w:sz w:val="20"/>
          <w:szCs w:val="20"/>
        </w:rPr>
        <w:t>el</w:t>
      </w:r>
      <w:r w:rsidR="002247AA" w:rsidRPr="00AE14B1">
        <w:rPr>
          <w:sz w:val="20"/>
          <w:szCs w:val="20"/>
        </w:rPr>
        <w:t xml:space="preserve"> 85%). </w:t>
      </w:r>
      <w:r w:rsidR="00C029DD" w:rsidRPr="00AE14B1">
        <w:rPr>
          <w:sz w:val="20"/>
          <w:szCs w:val="20"/>
        </w:rPr>
        <w:t>Aunque desde la coordinación informamos desde el primer día de la posibilidad de compaginar las prácticas curriculares con la actividad académica que requiere el máster, son pocos los alumnos que comienzan las prácticas en el primer semestre. Igualmente, la tasa de rendimiento puede verse afectada por el hecho de alargar la defensa del TFM. En este es ligeramente inferior (debería alcanzar como mínimo el 90 %).</w:t>
      </w:r>
    </w:p>
    <w:p w14:paraId="39E2D8B1" w14:textId="77777777" w:rsidR="00961A95" w:rsidRPr="002F52C2" w:rsidRDefault="00961A95" w:rsidP="002F52C2">
      <w:pPr>
        <w:spacing w:after="0" w:line="240" w:lineRule="auto"/>
        <w:jc w:val="both"/>
        <w:rPr>
          <w:sz w:val="20"/>
          <w:szCs w:val="20"/>
        </w:rPr>
      </w:pPr>
    </w:p>
    <w:p w14:paraId="4E9FDB83" w14:textId="4A64B05A" w:rsidR="00961A95" w:rsidRPr="002F52C2" w:rsidRDefault="00961A95" w:rsidP="002F52C2">
      <w:pPr>
        <w:spacing w:after="0" w:line="240" w:lineRule="auto"/>
        <w:jc w:val="both"/>
        <w:rPr>
          <w:sz w:val="20"/>
          <w:szCs w:val="20"/>
        </w:rPr>
      </w:pPr>
      <w:r w:rsidRPr="00AE14B1">
        <w:rPr>
          <w:sz w:val="20"/>
          <w:szCs w:val="20"/>
        </w:rPr>
        <w:t xml:space="preserve">En el curso 202-21, de acuerdo </w:t>
      </w:r>
      <w:r w:rsidR="00CE3569">
        <w:rPr>
          <w:sz w:val="20"/>
          <w:szCs w:val="20"/>
        </w:rPr>
        <w:t>con</w:t>
      </w:r>
      <w:r w:rsidRPr="00AE14B1">
        <w:rPr>
          <w:sz w:val="20"/>
          <w:szCs w:val="20"/>
        </w:rPr>
        <w:t xml:space="preserve"> la memoria verificada, en la UCA se han puesto en marcha las actividades académicas correspondientes a las especialidades de Producción y Tecnologías Agroalimentarias y Vitivinicultura en Climas Cálidos. En la UCO se impartió solo la especialidad de Producción y Tecnologías Agroalimentarias</w:t>
      </w:r>
      <w:r w:rsidRPr="002F52C2">
        <w:rPr>
          <w:sz w:val="20"/>
          <w:szCs w:val="20"/>
        </w:rPr>
        <w:t xml:space="preserve">. </w:t>
      </w:r>
    </w:p>
    <w:p w14:paraId="35076255" w14:textId="77777777" w:rsidR="00950A0E" w:rsidRPr="002F52C2" w:rsidRDefault="00950A0E" w:rsidP="00AE14B1">
      <w:pPr>
        <w:spacing w:line="240" w:lineRule="auto"/>
        <w:jc w:val="both"/>
        <w:rPr>
          <w:sz w:val="20"/>
          <w:szCs w:val="20"/>
        </w:rPr>
      </w:pPr>
    </w:p>
    <w:p w14:paraId="6D247238" w14:textId="7933E44F" w:rsidR="00961A95" w:rsidRPr="002F52C2" w:rsidRDefault="00961A95" w:rsidP="00AE14B1">
      <w:pPr>
        <w:spacing w:line="240" w:lineRule="auto"/>
        <w:jc w:val="both"/>
        <w:rPr>
          <w:sz w:val="20"/>
          <w:szCs w:val="20"/>
        </w:rPr>
      </w:pPr>
      <w:r w:rsidRPr="002F52C2">
        <w:rPr>
          <w:sz w:val="20"/>
          <w:szCs w:val="20"/>
        </w:rPr>
        <w:t xml:space="preserve">En cuanto a la docencia, prácticamente en todas las asignaturas ha participado profesorado de ambas universidades junto a profesionales/expertos en determinadas materias procedentes del campo empresarial. Para ello se ha hecho uso de la teledocencia, de forma que, en función de la materia a impartir, cada clase se impartía desde una de las dos universidades participantes, UCO o UCA, para todo el alumnado de ambas universidades en el caso del módulo común y para todo el alumnado de ambas universidades matriculado en la especialidad de “Producción y Tecnologías Agroalimentarias”. En el caso de la especialidad “Vitivinicultura en Climas Cálidos”, toda la docencia ha sido impartida por profesorado UCA, junto a algunos expertos externos, para los alumnos matriculados en la UCA. Así mismo cabe señalar que la asignatura “Introducción al Análisis Sensorial” del módulo común, dado el carácter práctico de la misma, se ha impartido por separado en ambas universidades sobre un contenido común. Igualmente, la asignatura “I+D+i en Agroalimentación” fue impartida por separado en ambas universidades, si bien, las sesiones finales sobre aspectos generales relacionados con la </w:t>
      </w:r>
      <w:r w:rsidR="00950A0E" w:rsidRPr="002F52C2">
        <w:rPr>
          <w:sz w:val="20"/>
          <w:szCs w:val="20"/>
        </w:rPr>
        <w:t>misma</w:t>
      </w:r>
      <w:r w:rsidRPr="002F52C2">
        <w:rPr>
          <w:sz w:val="20"/>
          <w:szCs w:val="20"/>
        </w:rPr>
        <w:t xml:space="preserve"> fueron impartidas en sesiones conjuntas con todo el alumnado celebradas con ocasión de unas Jornadas en I+D+i en formato online en las que participaron miembros de ambas Universidades, expertos externos y alumnos egresados. Estas fueron celebradas los días 1</w:t>
      </w:r>
      <w:r w:rsidR="00106623" w:rsidRPr="002F52C2">
        <w:rPr>
          <w:sz w:val="20"/>
          <w:szCs w:val="20"/>
        </w:rPr>
        <w:t>0</w:t>
      </w:r>
      <w:r w:rsidRPr="002F52C2">
        <w:rPr>
          <w:sz w:val="20"/>
          <w:szCs w:val="20"/>
        </w:rPr>
        <w:t xml:space="preserve"> y 1</w:t>
      </w:r>
      <w:r w:rsidR="00106623" w:rsidRPr="002F52C2">
        <w:rPr>
          <w:sz w:val="20"/>
          <w:szCs w:val="20"/>
        </w:rPr>
        <w:t>1</w:t>
      </w:r>
      <w:r w:rsidRPr="002F52C2">
        <w:rPr>
          <w:sz w:val="20"/>
          <w:szCs w:val="20"/>
        </w:rPr>
        <w:t xml:space="preserve"> de mayo de 202</w:t>
      </w:r>
      <w:r w:rsidR="00106623" w:rsidRPr="002F52C2">
        <w:rPr>
          <w:sz w:val="20"/>
          <w:szCs w:val="20"/>
        </w:rPr>
        <w:t>1</w:t>
      </w:r>
      <w:r w:rsidRPr="002F52C2">
        <w:rPr>
          <w:sz w:val="20"/>
          <w:szCs w:val="20"/>
        </w:rPr>
        <w:t>.</w:t>
      </w:r>
    </w:p>
    <w:p w14:paraId="2A3EAD6E" w14:textId="7887F831" w:rsidR="00961A95" w:rsidRPr="00AE14B1" w:rsidRDefault="00AC1086" w:rsidP="00AE14B1">
      <w:pPr>
        <w:spacing w:after="0" w:line="240" w:lineRule="auto"/>
        <w:jc w:val="both"/>
        <w:rPr>
          <w:sz w:val="20"/>
          <w:szCs w:val="20"/>
        </w:rPr>
      </w:pPr>
      <w:r w:rsidRPr="00AE14B1">
        <w:rPr>
          <w:sz w:val="20"/>
          <w:szCs w:val="20"/>
        </w:rPr>
        <w:t>La docencia del máster impartida en la UCA, durante el curso 2020-21, se ha impartido de forma presencial en el aula y de forma presencial síncrona (</w:t>
      </w:r>
      <w:hyperlink r:id="rId24" w:history="1">
        <w:r w:rsidRPr="00AE14B1">
          <w:rPr>
            <w:rStyle w:val="Hipervnculo"/>
            <w:sz w:val="20"/>
            <w:szCs w:val="20"/>
          </w:rPr>
          <w:t>https://ciencias.uca.es/horarios-2020-2021/</w:t>
        </w:r>
      </w:hyperlink>
      <w:r w:rsidRPr="00AE14B1">
        <w:rPr>
          <w:sz w:val="20"/>
          <w:szCs w:val="20"/>
        </w:rPr>
        <w:t>) cuando las restricciones establecidas por la pandemia de la COVID-19 durante el primer semestre no lo han permitido. En el caso de la UCO las clases se han desarrollado al 100% de forma presencial síncrona</w:t>
      </w:r>
      <w:r w:rsidR="00D974BC">
        <w:rPr>
          <w:sz w:val="20"/>
          <w:szCs w:val="20"/>
        </w:rPr>
        <w:t>, por falta de disponibilidad de aulas con capacidad suficiente para permitir la distancia mínima de seguridad.</w:t>
      </w:r>
      <w:r w:rsidRPr="00AE14B1">
        <w:rPr>
          <w:sz w:val="20"/>
          <w:szCs w:val="20"/>
        </w:rPr>
        <w:t xml:space="preserve"> </w:t>
      </w:r>
      <w:r w:rsidR="00961A95" w:rsidRPr="00950A0E">
        <w:rPr>
          <w:sz w:val="20"/>
          <w:szCs w:val="20"/>
        </w:rPr>
        <w:t xml:space="preserve">Esto no ha sido inconveniente alguno en este título, ya que al ser un máster interuniversitario los profesores están adaptados a usar plataformas para el uso de </w:t>
      </w:r>
      <w:r w:rsidR="00961A95" w:rsidRPr="00950A0E">
        <w:rPr>
          <w:sz w:val="20"/>
          <w:szCs w:val="20"/>
        </w:rPr>
        <w:lastRenderedPageBreak/>
        <w:t xml:space="preserve">la docencia y evaluación virtual.  </w:t>
      </w:r>
      <w:r w:rsidR="00CE3569">
        <w:rPr>
          <w:sz w:val="20"/>
          <w:szCs w:val="20"/>
        </w:rPr>
        <w:t>En ambas universidades</w:t>
      </w:r>
      <w:r w:rsidR="005A58A4" w:rsidRPr="00950A0E">
        <w:rPr>
          <w:sz w:val="20"/>
          <w:szCs w:val="20"/>
        </w:rPr>
        <w:t>, en las guías docentes de cada asignatura de la UCA se incluy</w:t>
      </w:r>
      <w:r w:rsidR="00CE3569">
        <w:rPr>
          <w:sz w:val="20"/>
          <w:szCs w:val="20"/>
        </w:rPr>
        <w:t>eron</w:t>
      </w:r>
      <w:r w:rsidR="005A58A4" w:rsidRPr="00950A0E">
        <w:rPr>
          <w:sz w:val="20"/>
          <w:szCs w:val="20"/>
        </w:rPr>
        <w:t xml:space="preserve"> plan</w:t>
      </w:r>
      <w:r w:rsidR="00CE3569">
        <w:rPr>
          <w:sz w:val="20"/>
          <w:szCs w:val="20"/>
        </w:rPr>
        <w:t>es</w:t>
      </w:r>
      <w:r w:rsidR="005A58A4" w:rsidRPr="00950A0E">
        <w:rPr>
          <w:sz w:val="20"/>
          <w:szCs w:val="20"/>
        </w:rPr>
        <w:t xml:space="preserve"> de contingencia contemplando los diferentes escenarios a los que nos podríamos encontrar en función del desarrollo de la pandemia de la COVID-19 (</w:t>
      </w:r>
      <w:hyperlink r:id="rId25" w:history="1">
        <w:r w:rsidR="005A58A4" w:rsidRPr="00950A0E">
          <w:rPr>
            <w:rStyle w:val="Hipervnculo"/>
            <w:sz w:val="20"/>
            <w:szCs w:val="20"/>
          </w:rPr>
          <w:t>https://asignaturas.uca.es/asig/</w:t>
        </w:r>
      </w:hyperlink>
      <w:r w:rsidR="00CE3569">
        <w:rPr>
          <w:rStyle w:val="Hipervnculo"/>
          <w:sz w:val="20"/>
          <w:szCs w:val="20"/>
        </w:rPr>
        <w:t xml:space="preserve">; </w:t>
      </w:r>
      <w:hyperlink r:id="rId26" w:history="1">
        <w:r w:rsidR="007E758D" w:rsidRPr="005A4E8D">
          <w:rPr>
            <w:rStyle w:val="Hipervnculo"/>
            <w:sz w:val="20"/>
            <w:szCs w:val="20"/>
          </w:rPr>
          <w:t>https://www.uco.es/estudios/idep/agroalimentacion</w:t>
        </w:r>
      </w:hyperlink>
      <w:r w:rsidR="005A58A4" w:rsidRPr="00950A0E">
        <w:rPr>
          <w:sz w:val="20"/>
          <w:szCs w:val="20"/>
        </w:rPr>
        <w:t>).</w:t>
      </w:r>
      <w:r w:rsidR="007E758D">
        <w:rPr>
          <w:sz w:val="20"/>
          <w:szCs w:val="20"/>
        </w:rPr>
        <w:t xml:space="preserve"> </w:t>
      </w:r>
      <w:r w:rsidR="005A58A4" w:rsidRPr="00950A0E">
        <w:rPr>
          <w:sz w:val="20"/>
          <w:szCs w:val="20"/>
        </w:rPr>
        <w:t xml:space="preserve"> </w:t>
      </w:r>
    </w:p>
    <w:p w14:paraId="41901BC5" w14:textId="77777777" w:rsidR="00961A95" w:rsidRPr="00950A0E" w:rsidRDefault="00961A95" w:rsidP="00961A95">
      <w:pPr>
        <w:spacing w:after="0" w:line="240" w:lineRule="auto"/>
        <w:jc w:val="both"/>
        <w:rPr>
          <w:sz w:val="20"/>
          <w:szCs w:val="20"/>
        </w:rPr>
      </w:pPr>
    </w:p>
    <w:p w14:paraId="508620FE" w14:textId="77777777" w:rsidR="00961A95" w:rsidRPr="00950A0E" w:rsidRDefault="00961A95" w:rsidP="00106623">
      <w:pPr>
        <w:jc w:val="both"/>
        <w:rPr>
          <w:sz w:val="20"/>
          <w:szCs w:val="20"/>
        </w:rPr>
      </w:pPr>
      <w:r w:rsidRPr="00950A0E">
        <w:rPr>
          <w:sz w:val="20"/>
          <w:szCs w:val="20"/>
        </w:rPr>
        <w:t>Para la correcta coordinación de todas estas actividades se ha contado con la Comisión Académica del Máster (CAM), integrada por:</w:t>
      </w:r>
    </w:p>
    <w:p w14:paraId="44AC949A" w14:textId="77777777" w:rsidR="00106623" w:rsidRPr="00950A0E" w:rsidRDefault="00961A95" w:rsidP="00106623">
      <w:pPr>
        <w:pStyle w:val="Prrafodelista"/>
        <w:numPr>
          <w:ilvl w:val="0"/>
          <w:numId w:val="9"/>
        </w:numPr>
        <w:jc w:val="both"/>
        <w:rPr>
          <w:sz w:val="20"/>
          <w:szCs w:val="20"/>
        </w:rPr>
      </w:pPr>
      <w:r w:rsidRPr="00950A0E">
        <w:rPr>
          <w:sz w:val="20"/>
          <w:szCs w:val="20"/>
        </w:rPr>
        <w:t>Dr. D. Manuel Ángel Amaro López (Presidente, coordinador máster Universidad de Córdoba)</w:t>
      </w:r>
    </w:p>
    <w:p w14:paraId="2BCDBA1A" w14:textId="77777777" w:rsidR="00106623" w:rsidRPr="00950A0E" w:rsidRDefault="00961A95" w:rsidP="00106623">
      <w:pPr>
        <w:pStyle w:val="Prrafodelista"/>
        <w:numPr>
          <w:ilvl w:val="0"/>
          <w:numId w:val="9"/>
        </w:numPr>
        <w:jc w:val="both"/>
        <w:rPr>
          <w:sz w:val="20"/>
          <w:szCs w:val="20"/>
        </w:rPr>
      </w:pPr>
      <w:r w:rsidRPr="00950A0E">
        <w:rPr>
          <w:sz w:val="20"/>
          <w:szCs w:val="20"/>
        </w:rPr>
        <w:t>Dra. Ana Jiménez Cantizano (coordinadora máster Universidad de Cádiz)</w:t>
      </w:r>
    </w:p>
    <w:p w14:paraId="0E694F57" w14:textId="77777777" w:rsidR="00106623" w:rsidRPr="00950A0E" w:rsidRDefault="00961A95" w:rsidP="00106623">
      <w:pPr>
        <w:pStyle w:val="Prrafodelista"/>
        <w:numPr>
          <w:ilvl w:val="0"/>
          <w:numId w:val="9"/>
        </w:numPr>
        <w:jc w:val="both"/>
        <w:rPr>
          <w:sz w:val="20"/>
          <w:szCs w:val="20"/>
        </w:rPr>
      </w:pPr>
      <w:r w:rsidRPr="00950A0E">
        <w:rPr>
          <w:sz w:val="20"/>
          <w:szCs w:val="20"/>
        </w:rPr>
        <w:t>D. José Manuel Gómez Montes de Oca (Decano Facultad de Ciencias UCA)</w:t>
      </w:r>
    </w:p>
    <w:p w14:paraId="7915728D" w14:textId="77777777" w:rsidR="00106623" w:rsidRPr="00950A0E" w:rsidRDefault="00961A95" w:rsidP="00106623">
      <w:pPr>
        <w:pStyle w:val="Prrafodelista"/>
        <w:numPr>
          <w:ilvl w:val="0"/>
          <w:numId w:val="9"/>
        </w:numPr>
        <w:jc w:val="both"/>
        <w:rPr>
          <w:sz w:val="20"/>
          <w:szCs w:val="20"/>
        </w:rPr>
      </w:pPr>
      <w:r w:rsidRPr="00950A0E">
        <w:rPr>
          <w:sz w:val="20"/>
          <w:szCs w:val="20"/>
        </w:rPr>
        <w:t>D. Emilio García Suárez (Responsable de prácticas en empresas y TFM UCA)</w:t>
      </w:r>
    </w:p>
    <w:p w14:paraId="46D88308" w14:textId="77777777" w:rsidR="00106623" w:rsidRPr="00950A0E" w:rsidRDefault="00961A95" w:rsidP="00106623">
      <w:pPr>
        <w:pStyle w:val="Prrafodelista"/>
        <w:numPr>
          <w:ilvl w:val="0"/>
          <w:numId w:val="9"/>
        </w:numPr>
        <w:jc w:val="both"/>
        <w:rPr>
          <w:sz w:val="20"/>
          <w:szCs w:val="20"/>
        </w:rPr>
      </w:pPr>
      <w:r w:rsidRPr="00950A0E">
        <w:rPr>
          <w:sz w:val="20"/>
          <w:szCs w:val="20"/>
        </w:rPr>
        <w:t>Dr. Rafael Gómez Díaz (PDI UCO)</w:t>
      </w:r>
    </w:p>
    <w:p w14:paraId="7B27B4D3" w14:textId="77777777" w:rsidR="00106623" w:rsidRPr="00950A0E" w:rsidRDefault="00961A95" w:rsidP="00106623">
      <w:pPr>
        <w:pStyle w:val="Prrafodelista"/>
        <w:numPr>
          <w:ilvl w:val="0"/>
          <w:numId w:val="9"/>
        </w:numPr>
        <w:jc w:val="both"/>
        <w:rPr>
          <w:sz w:val="20"/>
          <w:szCs w:val="20"/>
        </w:rPr>
      </w:pPr>
      <w:r w:rsidRPr="00950A0E">
        <w:rPr>
          <w:sz w:val="20"/>
          <w:szCs w:val="20"/>
        </w:rPr>
        <w:t>D. Rafael Moreno Rojas</w:t>
      </w:r>
    </w:p>
    <w:p w14:paraId="3D510A93" w14:textId="77777777" w:rsidR="00106623" w:rsidRPr="00950A0E" w:rsidRDefault="00961A95" w:rsidP="00106623">
      <w:pPr>
        <w:pStyle w:val="Prrafodelista"/>
        <w:numPr>
          <w:ilvl w:val="0"/>
          <w:numId w:val="9"/>
        </w:numPr>
        <w:jc w:val="both"/>
        <w:rPr>
          <w:sz w:val="20"/>
          <w:szCs w:val="20"/>
        </w:rPr>
      </w:pPr>
      <w:r w:rsidRPr="00950A0E">
        <w:rPr>
          <w:sz w:val="20"/>
          <w:szCs w:val="20"/>
        </w:rPr>
        <w:t>Dr. Fernando Cámara Martos (PDI UCO)</w:t>
      </w:r>
    </w:p>
    <w:p w14:paraId="690F700F" w14:textId="77777777" w:rsidR="00106623" w:rsidRPr="00950A0E" w:rsidRDefault="00961A95" w:rsidP="00106623">
      <w:pPr>
        <w:pStyle w:val="Prrafodelista"/>
        <w:numPr>
          <w:ilvl w:val="0"/>
          <w:numId w:val="9"/>
        </w:numPr>
        <w:jc w:val="both"/>
        <w:rPr>
          <w:sz w:val="20"/>
          <w:szCs w:val="20"/>
        </w:rPr>
      </w:pPr>
      <w:r w:rsidRPr="00950A0E">
        <w:rPr>
          <w:sz w:val="20"/>
          <w:szCs w:val="20"/>
        </w:rPr>
        <w:t>Dra. Montserrat Vioque Amor (PDI UCO)</w:t>
      </w:r>
    </w:p>
    <w:p w14:paraId="104AD44E" w14:textId="77777777" w:rsidR="00106623" w:rsidRPr="00950A0E" w:rsidRDefault="00961A95" w:rsidP="00106623">
      <w:pPr>
        <w:pStyle w:val="Prrafodelista"/>
        <w:numPr>
          <w:ilvl w:val="0"/>
          <w:numId w:val="9"/>
        </w:numPr>
        <w:jc w:val="both"/>
        <w:rPr>
          <w:sz w:val="20"/>
          <w:szCs w:val="20"/>
        </w:rPr>
      </w:pPr>
      <w:r w:rsidRPr="00950A0E">
        <w:rPr>
          <w:sz w:val="20"/>
          <w:szCs w:val="20"/>
        </w:rPr>
        <w:t>Dª Dolores Muñoz Cano (PAS UCO)</w:t>
      </w:r>
    </w:p>
    <w:p w14:paraId="21BF7A8C" w14:textId="77777777" w:rsidR="00106623" w:rsidRPr="004B67FA" w:rsidRDefault="00961A95" w:rsidP="00106623">
      <w:pPr>
        <w:pStyle w:val="Prrafodelista"/>
        <w:numPr>
          <w:ilvl w:val="0"/>
          <w:numId w:val="9"/>
        </w:numPr>
        <w:jc w:val="both"/>
        <w:rPr>
          <w:sz w:val="20"/>
          <w:szCs w:val="20"/>
        </w:rPr>
      </w:pPr>
      <w:r w:rsidRPr="004B67FA">
        <w:rPr>
          <w:sz w:val="20"/>
          <w:szCs w:val="20"/>
        </w:rPr>
        <w:t>D. José Antonio Rísquez Salas (COVAP)</w:t>
      </w:r>
    </w:p>
    <w:p w14:paraId="49CD07E7" w14:textId="661CC883" w:rsidR="00961A95" w:rsidRPr="00106623" w:rsidRDefault="00CE3569" w:rsidP="00CE3569">
      <w:pPr>
        <w:pStyle w:val="Prrafodelista"/>
        <w:numPr>
          <w:ilvl w:val="0"/>
          <w:numId w:val="9"/>
        </w:numPr>
        <w:jc w:val="both"/>
        <w:rPr>
          <w:sz w:val="20"/>
          <w:szCs w:val="20"/>
        </w:rPr>
      </w:pPr>
      <w:r>
        <w:rPr>
          <w:sz w:val="20"/>
          <w:szCs w:val="20"/>
        </w:rPr>
        <w:t xml:space="preserve">Dña. </w:t>
      </w:r>
      <w:r w:rsidRPr="00CE3569">
        <w:rPr>
          <w:sz w:val="20"/>
          <w:szCs w:val="20"/>
        </w:rPr>
        <w:t>Clara Cañas Crespo (alumna representante del curso 2022/21 de la Universidad de Córdoba)</w:t>
      </w:r>
    </w:p>
    <w:p w14:paraId="59B507DA" w14:textId="77777777" w:rsidR="00961A95" w:rsidRDefault="00961A95" w:rsidP="00961A95">
      <w:pPr>
        <w:spacing w:after="0" w:line="240" w:lineRule="auto"/>
        <w:jc w:val="both"/>
        <w:rPr>
          <w:sz w:val="20"/>
          <w:szCs w:val="20"/>
        </w:rPr>
      </w:pPr>
    </w:p>
    <w:p w14:paraId="10FB155C" w14:textId="46D3B7D6" w:rsidR="00961A95" w:rsidRPr="00CA2534" w:rsidRDefault="00961A95" w:rsidP="00961A95">
      <w:pPr>
        <w:spacing w:after="0" w:line="240" w:lineRule="auto"/>
        <w:jc w:val="both"/>
        <w:rPr>
          <w:sz w:val="20"/>
          <w:szCs w:val="20"/>
        </w:rPr>
      </w:pPr>
      <w:r w:rsidRPr="00CA2534">
        <w:rPr>
          <w:sz w:val="20"/>
          <w:szCs w:val="20"/>
        </w:rPr>
        <w:t xml:space="preserve">Dicha comisión se reunió de forma virtual en </w:t>
      </w:r>
      <w:r w:rsidR="00CA2534" w:rsidRPr="00CA2534">
        <w:rPr>
          <w:sz w:val="20"/>
          <w:szCs w:val="20"/>
        </w:rPr>
        <w:t>siete ocasiones, se disponen de actas de cada una de las reuniones.</w:t>
      </w:r>
    </w:p>
    <w:p w14:paraId="5D5C2DCE" w14:textId="77777777" w:rsidR="00961A95" w:rsidRDefault="00961A95" w:rsidP="00961A95">
      <w:pPr>
        <w:spacing w:after="0" w:line="240" w:lineRule="auto"/>
        <w:jc w:val="both"/>
        <w:rPr>
          <w:sz w:val="20"/>
          <w:szCs w:val="20"/>
        </w:rPr>
      </w:pPr>
    </w:p>
    <w:p w14:paraId="345616C5" w14:textId="77777777" w:rsidR="00961A95" w:rsidRPr="00AE14B1" w:rsidRDefault="00961A95" w:rsidP="00950A0E">
      <w:pPr>
        <w:spacing w:after="0" w:line="240" w:lineRule="auto"/>
        <w:jc w:val="both"/>
        <w:rPr>
          <w:sz w:val="20"/>
          <w:szCs w:val="20"/>
        </w:rPr>
      </w:pPr>
      <w:r w:rsidRPr="00AE14B1">
        <w:rPr>
          <w:sz w:val="20"/>
          <w:szCs w:val="20"/>
        </w:rPr>
        <w:t>Además, la UCA posee, en el caso del Máster en Agroalimentación, una comisión docente constituida por los diferentes coordinadores de las distintas asignaturas del máster que se reúne al menos una vez en el curso para fijar aspectos docentes generales (organización impartición asignaturas, evaluación de asignaturas, etc.) y un coordinador de gestión de prácticas en empresas y trabajos Fin de Máster (D. Emilio Manuel García Suarez). Los TFM, prácticas en empresas y trabajos de investigación están supervisados por la Comisión de Trabajos Fin de Máster (CTFM) del Máster en Agroalimentación aprobada en cumplimiento del art. 3 del RM UCA/CG07/2012, de 13 de julio de 2012, de Trabajos Fin de Grado y Fin de Máster de la Universidad de Cádiz. Dicha comisión para el curso 20</w:t>
      </w:r>
      <w:r w:rsidR="00AC1086" w:rsidRPr="00AE14B1">
        <w:rPr>
          <w:sz w:val="20"/>
          <w:szCs w:val="20"/>
        </w:rPr>
        <w:t>20</w:t>
      </w:r>
      <w:r w:rsidRPr="00AE14B1">
        <w:rPr>
          <w:sz w:val="20"/>
          <w:szCs w:val="20"/>
        </w:rPr>
        <w:t>/20</w:t>
      </w:r>
      <w:r w:rsidR="00AC1086" w:rsidRPr="00AE14B1">
        <w:rPr>
          <w:sz w:val="20"/>
          <w:szCs w:val="20"/>
        </w:rPr>
        <w:t>21</w:t>
      </w:r>
      <w:r w:rsidRPr="00AE14B1">
        <w:rPr>
          <w:sz w:val="20"/>
          <w:szCs w:val="20"/>
        </w:rPr>
        <w:t xml:space="preserve"> estuvo constituida por:</w:t>
      </w:r>
    </w:p>
    <w:p w14:paraId="65B462B9"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 José Manuel Gómez Montes de Oca, en calidad de Presidente</w:t>
      </w:r>
    </w:p>
    <w:p w14:paraId="543C4745"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 Emilio García Suárez, en calidad de Secretario, coordinador de TFM</w:t>
      </w:r>
    </w:p>
    <w:p w14:paraId="278709C5"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 Eduardo Romero Bruzón (PDI, Dpto. Ingeniería en Automática, Electrónica, Arquitectura y Redes de Computadores UCA)</w:t>
      </w:r>
    </w:p>
    <w:p w14:paraId="028E8D08"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Dña. María Eugenia Teijeiro Lillo (PDI, Dpto. Derecho Público)</w:t>
      </w:r>
    </w:p>
    <w:p w14:paraId="31C523CE"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Dña. María Carbú Espinosa de los Monteros (PDI, Dpto. Biomedicina, Biotecnología y Salud Pública)</w:t>
      </w:r>
    </w:p>
    <w:p w14:paraId="72FB5CA5"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Dña. Ana Roldán Gómez (PDI, Dpto. Ingeniería Química y Tecnología de Alimentos)</w:t>
      </w:r>
    </w:p>
    <w:p w14:paraId="301E095F"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Dña. Ana Concepción Jiménez Cantizano (coordinadora del máster)</w:t>
      </w:r>
    </w:p>
    <w:p w14:paraId="0B5A5CDA" w14:textId="77777777"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 xml:space="preserve">Dña. </w:t>
      </w:r>
      <w:r w:rsidRPr="00AE14B1">
        <w:rPr>
          <w:sz w:val="20"/>
          <w:szCs w:val="20"/>
        </w:rPr>
        <w:t xml:space="preserve">María </w:t>
      </w:r>
      <w:r w:rsidR="00D44B1F" w:rsidRPr="00AE14B1">
        <w:rPr>
          <w:sz w:val="20"/>
          <w:szCs w:val="20"/>
        </w:rPr>
        <w:t>Márquez Ramírez</w:t>
      </w:r>
      <w:r w:rsidR="00961A95" w:rsidRPr="00AE14B1">
        <w:rPr>
          <w:sz w:val="20"/>
          <w:szCs w:val="20"/>
        </w:rPr>
        <w:t xml:space="preserve"> (alumna UCA curso </w:t>
      </w:r>
      <w:r w:rsidRPr="00AE14B1">
        <w:rPr>
          <w:sz w:val="20"/>
          <w:szCs w:val="20"/>
        </w:rPr>
        <w:t>2020</w:t>
      </w:r>
      <w:r w:rsidR="00961A95" w:rsidRPr="00AE14B1">
        <w:rPr>
          <w:sz w:val="20"/>
          <w:szCs w:val="20"/>
        </w:rPr>
        <w:t>/2</w:t>
      </w:r>
      <w:r w:rsidRPr="00AE14B1">
        <w:rPr>
          <w:sz w:val="20"/>
          <w:szCs w:val="20"/>
        </w:rPr>
        <w:t>1</w:t>
      </w:r>
      <w:r w:rsidR="00961A95" w:rsidRPr="00AE14B1">
        <w:rPr>
          <w:sz w:val="20"/>
          <w:szCs w:val="20"/>
        </w:rPr>
        <w:t>)</w:t>
      </w:r>
    </w:p>
    <w:p w14:paraId="24A8DAC8" w14:textId="77777777" w:rsidR="00961A95" w:rsidRPr="00950A0E" w:rsidRDefault="00961A95" w:rsidP="00950A0E">
      <w:pPr>
        <w:spacing w:after="0" w:line="240" w:lineRule="auto"/>
        <w:jc w:val="both"/>
        <w:rPr>
          <w:sz w:val="20"/>
          <w:szCs w:val="20"/>
        </w:rPr>
      </w:pPr>
      <w:r w:rsidRPr="00950A0E">
        <w:rPr>
          <w:sz w:val="20"/>
          <w:szCs w:val="20"/>
        </w:rPr>
        <w:t xml:space="preserve">  </w:t>
      </w:r>
    </w:p>
    <w:p w14:paraId="7CDDFE59" w14:textId="77777777" w:rsidR="00961A95" w:rsidRPr="00AE14B1" w:rsidRDefault="00961A95" w:rsidP="00950A0E">
      <w:pPr>
        <w:spacing w:after="0" w:line="240" w:lineRule="auto"/>
        <w:jc w:val="both"/>
        <w:rPr>
          <w:sz w:val="20"/>
          <w:szCs w:val="20"/>
        </w:rPr>
      </w:pPr>
      <w:r w:rsidRPr="00AE14B1">
        <w:rPr>
          <w:sz w:val="20"/>
          <w:szCs w:val="20"/>
        </w:rPr>
        <w:t>Respecto a la Universidad de Córdoba, la composición de la UGCM fue la siguiente:</w:t>
      </w:r>
    </w:p>
    <w:p w14:paraId="6B739869" w14:textId="34DE0AFD"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 xml:space="preserve">D. Rafael </w:t>
      </w:r>
      <w:r w:rsidR="00CA2534">
        <w:rPr>
          <w:sz w:val="20"/>
          <w:szCs w:val="20"/>
        </w:rPr>
        <w:t xml:space="preserve">Moreno Rojas </w:t>
      </w:r>
      <w:r w:rsidR="00961A95" w:rsidRPr="00AE14B1">
        <w:rPr>
          <w:sz w:val="20"/>
          <w:szCs w:val="20"/>
        </w:rPr>
        <w:t>Gómez Díaz (</w:t>
      </w:r>
      <w:r w:rsidR="00CA2534">
        <w:rPr>
          <w:sz w:val="20"/>
          <w:szCs w:val="20"/>
        </w:rPr>
        <w:t xml:space="preserve">Presidente </w:t>
      </w:r>
      <w:r w:rsidR="00961A95" w:rsidRPr="00AE14B1">
        <w:rPr>
          <w:sz w:val="20"/>
          <w:szCs w:val="20"/>
        </w:rPr>
        <w:t>PDI</w:t>
      </w:r>
      <w:r w:rsidR="00CA2534">
        <w:rPr>
          <w:sz w:val="20"/>
          <w:szCs w:val="20"/>
        </w:rPr>
        <w:t>, Nutrición y Bromatología</w:t>
      </w:r>
      <w:r w:rsidR="00961A95" w:rsidRPr="00AE14B1">
        <w:rPr>
          <w:sz w:val="20"/>
          <w:szCs w:val="20"/>
        </w:rPr>
        <w:t>)</w:t>
      </w:r>
    </w:p>
    <w:p w14:paraId="4CAAEC8E" w14:textId="2D1904B0"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 xml:space="preserve">D. </w:t>
      </w:r>
      <w:r w:rsidR="00CA2534" w:rsidRPr="00CA2534">
        <w:rPr>
          <w:sz w:val="20"/>
          <w:szCs w:val="20"/>
        </w:rPr>
        <w:t xml:space="preserve">Fernando Cámara Martos </w:t>
      </w:r>
      <w:r w:rsidR="00961A95" w:rsidRPr="00AE14B1">
        <w:rPr>
          <w:sz w:val="20"/>
          <w:szCs w:val="20"/>
        </w:rPr>
        <w:t>(PDI Nutrición y Bromatología)</w:t>
      </w:r>
    </w:p>
    <w:p w14:paraId="7D42F6FE" w14:textId="454573EF" w:rsidR="00961A95" w:rsidRPr="00AE14B1" w:rsidRDefault="00AC1086" w:rsidP="00950A0E">
      <w:pPr>
        <w:spacing w:after="0" w:line="240" w:lineRule="auto"/>
        <w:jc w:val="both"/>
        <w:rPr>
          <w:sz w:val="20"/>
          <w:szCs w:val="20"/>
        </w:rPr>
      </w:pPr>
      <w:r w:rsidRPr="00AE14B1">
        <w:rPr>
          <w:sz w:val="20"/>
          <w:szCs w:val="20"/>
        </w:rPr>
        <w:t xml:space="preserve">- </w:t>
      </w:r>
      <w:r w:rsidR="00961A95" w:rsidRPr="00AE14B1">
        <w:rPr>
          <w:sz w:val="20"/>
          <w:szCs w:val="20"/>
        </w:rPr>
        <w:t xml:space="preserve">Dña. </w:t>
      </w:r>
      <w:r w:rsidR="00CA2534" w:rsidRPr="00CA2534">
        <w:rPr>
          <w:sz w:val="20"/>
          <w:szCs w:val="20"/>
        </w:rPr>
        <w:t>Clara Cañas Crespo (alumna representante del curso 2022/21 de la Universidad de Córdoba)</w:t>
      </w:r>
    </w:p>
    <w:p w14:paraId="689D85E4" w14:textId="77777777" w:rsidR="005A514B" w:rsidRDefault="005A514B" w:rsidP="005A514B">
      <w:pPr>
        <w:spacing w:after="0"/>
        <w:jc w:val="both"/>
        <w:rPr>
          <w:sz w:val="20"/>
          <w:szCs w:val="20"/>
        </w:rPr>
      </w:pPr>
    </w:p>
    <w:p w14:paraId="69F32E7E" w14:textId="243BBC50" w:rsidR="005A514B" w:rsidRPr="005A514B" w:rsidRDefault="005A514B" w:rsidP="005A514B">
      <w:pPr>
        <w:spacing w:after="0"/>
        <w:jc w:val="both"/>
        <w:rPr>
          <w:sz w:val="20"/>
          <w:szCs w:val="20"/>
        </w:rPr>
      </w:pPr>
      <w:r w:rsidRPr="005A514B">
        <w:rPr>
          <w:sz w:val="20"/>
          <w:szCs w:val="20"/>
        </w:rPr>
        <w:t xml:space="preserve">La Universidad de Cádiz dispone del Reglamento UCA/CG08/2012 de prácticas externas de los alumnos aprobado por Consejo de Gobierno el día 13 de julio de 2012, modificado el 3 de julio de 2015 BOUCA 190 de 2015, (https://empleoypracticas.uca.es/practicas-en-empresas/). Su Artículo 16º: Tutorías y requisitos para ejercerlas y los Artículos 29 y 30, sobre derechos y obligaciones del tutor académico, son el marco que regula el perfil de profesorado que supervisa las prácticas externas en base a las áreas específicas en que está especializado dicho profesor/a y la asignación del alumnado por curso académico. </w:t>
      </w:r>
    </w:p>
    <w:p w14:paraId="314B8518" w14:textId="77777777" w:rsidR="005A514B" w:rsidRPr="005A514B" w:rsidRDefault="005A514B" w:rsidP="005A514B">
      <w:pPr>
        <w:spacing w:after="0"/>
        <w:jc w:val="both"/>
        <w:rPr>
          <w:sz w:val="20"/>
          <w:szCs w:val="20"/>
        </w:rPr>
      </w:pPr>
    </w:p>
    <w:p w14:paraId="393DC415" w14:textId="77777777" w:rsidR="005A514B" w:rsidRPr="005A514B" w:rsidRDefault="005A514B" w:rsidP="005A514B">
      <w:pPr>
        <w:spacing w:after="0"/>
        <w:jc w:val="both"/>
        <w:rPr>
          <w:sz w:val="20"/>
          <w:szCs w:val="20"/>
        </w:rPr>
      </w:pPr>
      <w:r w:rsidRPr="005A514B">
        <w:rPr>
          <w:sz w:val="20"/>
          <w:szCs w:val="20"/>
        </w:rPr>
        <w:lastRenderedPageBreak/>
        <w:t>En el caso de la Facultad de Ciencias, la gestión de las prácticas es centralizada por la intensa labor de gestión y supervisión que se lleva a cabo por el equipo decanal y en concreto por la Vicedecana de Relaciones Institucionales y Movilidad de la Facultad de Ciencias. Desde el decanato se gestiona con los coordinadores de cada título la gestión de prácticas, y en el caso del máster se dispone también de un coordinador de prácticas de empresa que gestiona todos los trámites necesarios y la relación directa con los estudiantes.</w:t>
      </w:r>
    </w:p>
    <w:p w14:paraId="119835B8" w14:textId="77777777" w:rsidR="005A514B" w:rsidRPr="005A514B" w:rsidRDefault="005A514B" w:rsidP="005A514B">
      <w:pPr>
        <w:spacing w:after="0"/>
        <w:jc w:val="both"/>
        <w:rPr>
          <w:sz w:val="20"/>
          <w:szCs w:val="20"/>
        </w:rPr>
      </w:pPr>
    </w:p>
    <w:p w14:paraId="17519063" w14:textId="77777777" w:rsidR="005A514B" w:rsidRPr="005A514B" w:rsidRDefault="005A514B" w:rsidP="005A514B">
      <w:pPr>
        <w:spacing w:after="0"/>
        <w:jc w:val="both"/>
        <w:rPr>
          <w:sz w:val="20"/>
          <w:szCs w:val="20"/>
        </w:rPr>
      </w:pPr>
      <w:r w:rsidRPr="005A514B">
        <w:rPr>
          <w:sz w:val="20"/>
          <w:szCs w:val="20"/>
        </w:rPr>
        <w:t xml:space="preserve">El estudiante que desarrolla las prácticas de empresa es supervisado y tutorizado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son personas de un puesto de relevancia dentro de las mismas, y que asume la responsabilidad de la estancia y trabajo del alumno dentro durante su trabajo en la empresa. Para el tutor académico, se cuenta con el claustro de profesorado que imparte docencia en el máster,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el alumno,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p>
    <w:p w14:paraId="2F1CF6D0" w14:textId="77777777" w:rsidR="005A514B" w:rsidRPr="005A514B" w:rsidRDefault="005A514B" w:rsidP="005A514B">
      <w:pPr>
        <w:spacing w:after="0"/>
        <w:jc w:val="both"/>
        <w:rPr>
          <w:sz w:val="20"/>
          <w:szCs w:val="20"/>
        </w:rPr>
      </w:pPr>
    </w:p>
    <w:p w14:paraId="61CA6C42" w14:textId="05356308" w:rsidR="007F11A6" w:rsidRPr="00AE14B1" w:rsidRDefault="005A514B" w:rsidP="005A514B">
      <w:pPr>
        <w:spacing w:after="0"/>
        <w:jc w:val="both"/>
        <w:rPr>
          <w:sz w:val="20"/>
          <w:szCs w:val="20"/>
        </w:rPr>
      </w:pPr>
      <w:r w:rsidRPr="005A514B">
        <w:rPr>
          <w:sz w:val="20"/>
          <w:szCs w:val="20"/>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Toda la información relativa a las prácticas de empresa se encuentra fácilmente accesible en la página web del Máster (https://ciencias.uca.es/wp-content/uploads/2017/09/Pr%C3%A1cticas-externas.pdf?u). También se ha elaborado una completa Guía de Practicas de Empresa para los alumnos, siguiendo la recomendación realizada en el informe de seguimiento de la DEVA en 2019 (https://ciencias.uca.es/movilidad-practicas/). Los convenios se encuentran disponibles para su consulta en la dirección (https://ciencias.uca.es/convenio-con-empresas/). En cuanto a la realización de prácticas externas no curriculares, éstas se gestionan mediante la plataforma informática ICARO, que es el Portal de Gestión de Prácticas en Empresa y Empleo utilizado por las Universidades Públicas Andaluzas.  </w:t>
      </w:r>
    </w:p>
    <w:p w14:paraId="78D7B9A6" w14:textId="77777777" w:rsidR="005A514B" w:rsidRDefault="005A514B" w:rsidP="00950A0E">
      <w:pPr>
        <w:spacing w:after="0"/>
        <w:jc w:val="both"/>
        <w:rPr>
          <w:sz w:val="20"/>
          <w:szCs w:val="20"/>
        </w:rPr>
      </w:pPr>
    </w:p>
    <w:p w14:paraId="2DA8105F" w14:textId="22C84A51" w:rsidR="007F11A6" w:rsidRPr="00AE14B1" w:rsidRDefault="007F11A6" w:rsidP="00950A0E">
      <w:pPr>
        <w:spacing w:after="0"/>
        <w:jc w:val="both"/>
        <w:rPr>
          <w:sz w:val="20"/>
          <w:szCs w:val="20"/>
        </w:rPr>
      </w:pPr>
      <w:r w:rsidRPr="00AE14B1">
        <w:rPr>
          <w:sz w:val="20"/>
          <w:szCs w:val="20"/>
        </w:rPr>
        <w:t>Respecto a las prácticas en empresas, destacar que desde la coordinación del máster junto con el profesor responsable de la asignatura “Prácticas en Empresas” en cada universidad, se establece siempre un trato individualizado hacia el alumno que realiza el perfil profesional del mismo, con el fin de que puedan realizar las prácticas en las empresas que les resulten más afín. En la UCA, se comienza con la cumplimentación por parte del alumno, durante los primeros días de docencia del máster, de un formulario en el que quedan recogidos además de los diferentes datos del alumno que pueden ser de interés (titulación de procedencia, lugar de residencia, nivel de idiomas, etc.), sus preferencias hacia la realización de las prácticas. Tras la revisión de la infor</w:t>
      </w:r>
      <w:r w:rsidR="00CA2534">
        <w:rPr>
          <w:sz w:val="20"/>
          <w:szCs w:val="20"/>
        </w:rPr>
        <w:t>mación recibida, la coordinación del máster y los</w:t>
      </w:r>
      <w:r w:rsidRPr="00AE14B1">
        <w:rPr>
          <w:sz w:val="20"/>
          <w:szCs w:val="20"/>
        </w:rPr>
        <w:t xml:space="preserve"> responsable</w:t>
      </w:r>
      <w:r w:rsidR="00CA2534">
        <w:rPr>
          <w:sz w:val="20"/>
          <w:szCs w:val="20"/>
        </w:rPr>
        <w:t>s</w:t>
      </w:r>
      <w:r w:rsidRPr="00AE14B1">
        <w:rPr>
          <w:sz w:val="20"/>
          <w:szCs w:val="20"/>
        </w:rPr>
        <w:t xml:space="preserve"> de gestión de prácticas </w:t>
      </w:r>
      <w:r w:rsidR="00CA2534">
        <w:rPr>
          <w:sz w:val="20"/>
          <w:szCs w:val="20"/>
        </w:rPr>
        <w:t xml:space="preserve">externas </w:t>
      </w:r>
      <w:r w:rsidRPr="00AE14B1">
        <w:rPr>
          <w:sz w:val="20"/>
          <w:szCs w:val="20"/>
        </w:rPr>
        <w:t>del máster</w:t>
      </w:r>
      <w:r w:rsidR="00CA2534">
        <w:rPr>
          <w:sz w:val="20"/>
          <w:szCs w:val="20"/>
        </w:rPr>
        <w:t xml:space="preserve"> de cada universidad (</w:t>
      </w:r>
      <w:r w:rsidRPr="00AE14B1">
        <w:rPr>
          <w:sz w:val="20"/>
          <w:szCs w:val="20"/>
        </w:rPr>
        <w:t>D. Emilio Manuel García Suárez</w:t>
      </w:r>
      <w:r w:rsidR="00CA2534">
        <w:rPr>
          <w:sz w:val="20"/>
          <w:szCs w:val="20"/>
        </w:rPr>
        <w:t xml:space="preserve"> en la UCA y D. Manuel Ángel Amaro López en la UCO)</w:t>
      </w:r>
      <w:r w:rsidRPr="00AE14B1">
        <w:rPr>
          <w:sz w:val="20"/>
          <w:szCs w:val="20"/>
        </w:rPr>
        <w:t>, inician los contactos necesarios para que los alumnos realicen sus prácticas en la empresa de su preferencia. En caso de que no exista convenio de colaboración educativa entre la</w:t>
      </w:r>
      <w:r w:rsidR="00CA2534">
        <w:rPr>
          <w:sz w:val="20"/>
          <w:szCs w:val="20"/>
        </w:rPr>
        <w:t>s</w:t>
      </w:r>
      <w:r w:rsidRPr="00AE14B1">
        <w:rPr>
          <w:sz w:val="20"/>
          <w:szCs w:val="20"/>
        </w:rPr>
        <w:t xml:space="preserve"> Universidad y la</w:t>
      </w:r>
      <w:r w:rsidR="00CA2534">
        <w:rPr>
          <w:sz w:val="20"/>
          <w:szCs w:val="20"/>
        </w:rPr>
        <w:t>s</w:t>
      </w:r>
      <w:r w:rsidRPr="00AE14B1">
        <w:rPr>
          <w:sz w:val="20"/>
          <w:szCs w:val="20"/>
        </w:rPr>
        <w:t xml:space="preserve"> empresa</w:t>
      </w:r>
      <w:r w:rsidR="00CA2534">
        <w:rPr>
          <w:sz w:val="20"/>
          <w:szCs w:val="20"/>
        </w:rPr>
        <w:t>s</w:t>
      </w:r>
      <w:r w:rsidRPr="00AE14B1">
        <w:rPr>
          <w:sz w:val="20"/>
          <w:szCs w:val="20"/>
        </w:rPr>
        <w:t xml:space="preserve"> que mejor se ajuste a sus preferencias, se realizan los trámites necesarios para la formalización de dicho convenio. En la UCO, tienen una amplia lista de empresas agroalimentarias con las que tienen estableci</w:t>
      </w:r>
      <w:r w:rsidR="00CA2534">
        <w:rPr>
          <w:sz w:val="20"/>
          <w:szCs w:val="20"/>
        </w:rPr>
        <w:t xml:space="preserve">dos convenios de colaboración y, </w:t>
      </w:r>
      <w:r w:rsidRPr="00AE14B1">
        <w:rPr>
          <w:sz w:val="20"/>
          <w:szCs w:val="20"/>
        </w:rPr>
        <w:t>además</w:t>
      </w:r>
      <w:r w:rsidR="00CA2534">
        <w:rPr>
          <w:sz w:val="20"/>
          <w:szCs w:val="20"/>
        </w:rPr>
        <w:t>,</w:t>
      </w:r>
      <w:r w:rsidRPr="00AE14B1">
        <w:rPr>
          <w:sz w:val="20"/>
          <w:szCs w:val="20"/>
        </w:rPr>
        <w:t xml:space="preserve"> desde la coordinación se trabaja el becar a los alumnos para la realización de las prácticas. </w:t>
      </w:r>
    </w:p>
    <w:p w14:paraId="2388D1AC" w14:textId="77777777" w:rsidR="007F11A6" w:rsidRPr="00AE14B1" w:rsidRDefault="007F11A6" w:rsidP="00950A0E">
      <w:pPr>
        <w:spacing w:after="0"/>
        <w:jc w:val="both"/>
        <w:rPr>
          <w:sz w:val="20"/>
          <w:szCs w:val="20"/>
        </w:rPr>
      </w:pPr>
    </w:p>
    <w:p w14:paraId="52E0800F" w14:textId="2AED53AA" w:rsidR="007F11A6" w:rsidRPr="00AE14B1" w:rsidRDefault="00CA2534" w:rsidP="00950A0E">
      <w:pPr>
        <w:spacing w:after="0"/>
        <w:jc w:val="both"/>
        <w:rPr>
          <w:sz w:val="20"/>
          <w:szCs w:val="20"/>
        </w:rPr>
      </w:pPr>
      <w:r>
        <w:rPr>
          <w:sz w:val="20"/>
          <w:szCs w:val="20"/>
        </w:rPr>
        <w:t>Adicionalmente</w:t>
      </w:r>
      <w:r w:rsidR="007F11A6" w:rsidRPr="00AE14B1">
        <w:rPr>
          <w:sz w:val="20"/>
          <w:szCs w:val="20"/>
        </w:rPr>
        <w:t>, atendiendo a la variabilidad geográfica del alumnado del título que nos ocupa, siempre en caso necesario y a fin de facilitar la realización del periodo de prácticas del alumno, se buscan establecer nuevos convenios con empresas concretas que tengan actividad profesional en la zona geográfica de la que éste proceda.</w:t>
      </w:r>
    </w:p>
    <w:p w14:paraId="099DB1B8" w14:textId="77777777" w:rsidR="007F11A6" w:rsidRPr="00AE14B1" w:rsidRDefault="007F11A6" w:rsidP="00950A0E">
      <w:pPr>
        <w:spacing w:after="0"/>
        <w:jc w:val="both"/>
        <w:rPr>
          <w:sz w:val="20"/>
          <w:szCs w:val="20"/>
        </w:rPr>
      </w:pPr>
    </w:p>
    <w:p w14:paraId="01B79366" w14:textId="53C8BD08" w:rsidR="00491DA2" w:rsidRPr="00AE14B1" w:rsidRDefault="007F11A6" w:rsidP="00950A0E">
      <w:pPr>
        <w:spacing w:after="0"/>
        <w:jc w:val="both"/>
        <w:rPr>
          <w:sz w:val="20"/>
          <w:szCs w:val="20"/>
        </w:rPr>
      </w:pPr>
      <w:r w:rsidRPr="00AE14B1">
        <w:rPr>
          <w:sz w:val="20"/>
          <w:szCs w:val="20"/>
        </w:rPr>
        <w:lastRenderedPageBreak/>
        <w:t>En cuanto a la movilidad de los alumnos que cursan el máster en agroalimentación</w:t>
      </w:r>
      <w:r w:rsidR="00CA2534">
        <w:rPr>
          <w:sz w:val="20"/>
          <w:szCs w:val="20"/>
        </w:rPr>
        <w:t>,</w:t>
      </w:r>
      <w:r w:rsidRPr="00AE14B1">
        <w:rPr>
          <w:sz w:val="20"/>
          <w:szCs w:val="20"/>
        </w:rPr>
        <w:t xml:space="preserve"> no</w:t>
      </w:r>
      <w:r w:rsidR="00CA2534">
        <w:rPr>
          <w:sz w:val="20"/>
          <w:szCs w:val="20"/>
        </w:rPr>
        <w:t xml:space="preserve"> se dispone</w:t>
      </w:r>
      <w:r w:rsidRPr="00AE14B1">
        <w:rPr>
          <w:sz w:val="20"/>
          <w:szCs w:val="20"/>
        </w:rPr>
        <w:t xml:space="preserve"> de muchos datos. Las causas de una baja movilidad saliente son variadas. Por un lado, muchos de los estudiantes del título se encontraban simultaneando trab</w:t>
      </w:r>
      <w:r w:rsidR="00491DA2" w:rsidRPr="00AE14B1">
        <w:rPr>
          <w:sz w:val="20"/>
          <w:szCs w:val="20"/>
        </w:rPr>
        <w:t>ajo y estudios, lo que dificulta</w:t>
      </w:r>
      <w:r w:rsidRPr="00AE14B1">
        <w:rPr>
          <w:sz w:val="20"/>
          <w:szCs w:val="20"/>
        </w:rPr>
        <w:t xml:space="preserve"> claramente sus posibilidades de movilidad al extranjero y, </w:t>
      </w:r>
      <w:r w:rsidR="008A1A8C">
        <w:rPr>
          <w:sz w:val="20"/>
          <w:szCs w:val="20"/>
        </w:rPr>
        <w:t xml:space="preserve">por otra parte, </w:t>
      </w:r>
      <w:r w:rsidR="00950A0E" w:rsidRPr="00950A0E">
        <w:rPr>
          <w:sz w:val="20"/>
          <w:szCs w:val="20"/>
        </w:rPr>
        <w:t>otros alumnos</w:t>
      </w:r>
      <w:r w:rsidRPr="00AE14B1">
        <w:rPr>
          <w:sz w:val="20"/>
          <w:szCs w:val="20"/>
        </w:rPr>
        <w:t xml:space="preserve"> no quieren alargar su actividad docente. Sus prioridades son finalizar el máster para poder iniciarse o continuar en el mundo laboral. Es de destacar el alto interés demostrado por numerosos alumnos extranjeros durante el periodo de inscripción y matriculación para acceder al título, si bien, la mayoría de ellos no pudieron realizar finalmente la matricula en el mismo por razones económicas o los arduos trámites para obtener los visados. </w:t>
      </w:r>
      <w:r w:rsidR="00491DA2" w:rsidRPr="00AE14B1">
        <w:rPr>
          <w:sz w:val="20"/>
          <w:szCs w:val="20"/>
        </w:rPr>
        <w:t xml:space="preserve">Durante el curso 2020-21, resaltar que todos los alumnos extranjeros matriculados pudieron viajar desde sus países de origen para cursar el máster y una alumna pudo disfrutar de una estancia en Francia dentro del programa ERASMUS + KA103 CEIMAR SMP OUT.  </w:t>
      </w:r>
      <w:r w:rsidR="008A1A8C">
        <w:rPr>
          <w:sz w:val="20"/>
          <w:szCs w:val="20"/>
        </w:rPr>
        <w:t>No obstante, hay que indicar que,</w:t>
      </w:r>
      <w:r w:rsidR="00491DA2" w:rsidRPr="00AE14B1">
        <w:rPr>
          <w:sz w:val="20"/>
          <w:szCs w:val="20"/>
        </w:rPr>
        <w:t xml:space="preserve"> durante este mismo curso, la movilidad </w:t>
      </w:r>
      <w:r w:rsidR="008A1A8C">
        <w:rPr>
          <w:sz w:val="20"/>
          <w:szCs w:val="20"/>
        </w:rPr>
        <w:t xml:space="preserve">del estudiantado </w:t>
      </w:r>
      <w:r w:rsidR="00491DA2" w:rsidRPr="00AE14B1">
        <w:rPr>
          <w:sz w:val="20"/>
          <w:szCs w:val="20"/>
        </w:rPr>
        <w:t>se ha vi</w:t>
      </w:r>
      <w:r w:rsidR="008A1A8C">
        <w:rPr>
          <w:sz w:val="20"/>
          <w:szCs w:val="20"/>
        </w:rPr>
        <w:t xml:space="preserve">sto reducida debido, sobre todo, </w:t>
      </w:r>
      <w:r w:rsidR="00491DA2" w:rsidRPr="00AE14B1">
        <w:rPr>
          <w:sz w:val="20"/>
          <w:szCs w:val="20"/>
        </w:rPr>
        <w:t>a las limitaciones impuestas por los países socios para poder entrar o salir del país. Concretamente</w:t>
      </w:r>
      <w:r w:rsidR="008A1A8C">
        <w:rPr>
          <w:sz w:val="20"/>
          <w:szCs w:val="20"/>
        </w:rPr>
        <w:t>,</w:t>
      </w:r>
      <w:r w:rsidR="00491DA2" w:rsidRPr="00AE14B1">
        <w:rPr>
          <w:sz w:val="20"/>
          <w:szCs w:val="20"/>
        </w:rPr>
        <w:t xml:space="preserve"> hubo varias universidades socias que cancelaron la movilidad entrante en sus universidades en el primer semestre del curso e</w:t>
      </w:r>
      <w:r w:rsidR="008A1A8C">
        <w:rPr>
          <w:sz w:val="20"/>
          <w:szCs w:val="20"/>
        </w:rPr>
        <w:t>,</w:t>
      </w:r>
      <w:r w:rsidR="00491DA2" w:rsidRPr="00AE14B1">
        <w:rPr>
          <w:sz w:val="20"/>
          <w:szCs w:val="20"/>
        </w:rPr>
        <w:t xml:space="preserve"> incluso</w:t>
      </w:r>
      <w:r w:rsidR="008A1A8C">
        <w:rPr>
          <w:sz w:val="20"/>
          <w:szCs w:val="20"/>
        </w:rPr>
        <w:t>,</w:t>
      </w:r>
      <w:r w:rsidR="00491DA2" w:rsidRPr="00AE14B1">
        <w:rPr>
          <w:sz w:val="20"/>
          <w:szCs w:val="20"/>
        </w:rPr>
        <w:t xml:space="preserve"> durante todo el curso académico. Otras universidades optaron por un modelo semipresencial (Blended Mobility) y otras directamente a movilidades virtuales, sin que los alumnos se desplazasen a destino, atendiendo clases on-line (Virtual Mobility). De las 51 solicitudes de alumnos de la Facultad de Ciencias, recibidas, para hacer movilidad saliente dentro del programa Erasmus + KA103 estudios, 40 estudiantes renunciaron a la movilidad.</w:t>
      </w:r>
    </w:p>
    <w:p w14:paraId="7A9E6254" w14:textId="77777777" w:rsidR="00491DA2" w:rsidRPr="00AE14B1" w:rsidRDefault="00491DA2" w:rsidP="00AE14B1">
      <w:pPr>
        <w:spacing w:after="0"/>
        <w:jc w:val="both"/>
        <w:rPr>
          <w:sz w:val="20"/>
          <w:szCs w:val="20"/>
        </w:rPr>
      </w:pPr>
    </w:p>
    <w:p w14:paraId="11BD937C" w14:textId="3F291F1E" w:rsidR="00491DA2" w:rsidRPr="00AE14B1" w:rsidRDefault="00491DA2" w:rsidP="00950A0E">
      <w:pPr>
        <w:jc w:val="both"/>
        <w:rPr>
          <w:sz w:val="20"/>
          <w:szCs w:val="20"/>
        </w:rPr>
      </w:pPr>
      <w:r w:rsidRPr="00AE14B1">
        <w:rPr>
          <w:sz w:val="20"/>
          <w:szCs w:val="20"/>
        </w:rPr>
        <w:t xml:space="preserve">Los alumnos entrantes a través de los diferentes programas Erasmus + estudios también disminuyeron bastante en relación </w:t>
      </w:r>
      <w:r w:rsidR="008A1A8C">
        <w:rPr>
          <w:sz w:val="20"/>
          <w:szCs w:val="20"/>
        </w:rPr>
        <w:t>con</w:t>
      </w:r>
      <w:r w:rsidRPr="00AE14B1">
        <w:rPr>
          <w:sz w:val="20"/>
          <w:szCs w:val="20"/>
        </w:rPr>
        <w:t xml:space="preserve"> años anteriores. Lo mismo sucedió con el programa de Alumnos Visitantes.</w:t>
      </w:r>
      <w:r w:rsidR="008A1A8C">
        <w:rPr>
          <w:sz w:val="20"/>
          <w:szCs w:val="20"/>
        </w:rPr>
        <w:t xml:space="preserve"> </w:t>
      </w:r>
      <w:r w:rsidRPr="00AE14B1">
        <w:rPr>
          <w:sz w:val="20"/>
          <w:szCs w:val="20"/>
        </w:rPr>
        <w:t>La movilidad de alumnos en el programa Erasmus + Prácticas también se vio afectada notablemente, debido a la reticencia de las empresas y universidades extranjeras a admitir alumnos en prácticas. También influyeron negativamente las limitaciones sanitarias establecidas, que impedían la entrada en otros países a ciudadanos españoles sin vacunar y la dificultad para encontrar alojamiento y medios de transporte para llegar a destino.</w:t>
      </w:r>
    </w:p>
    <w:p w14:paraId="30CFC22E" w14:textId="77777777" w:rsidR="007F11A6" w:rsidRPr="00AE14B1" w:rsidRDefault="007F11A6" w:rsidP="00AE14B1">
      <w:pPr>
        <w:spacing w:after="0"/>
        <w:jc w:val="both"/>
        <w:rPr>
          <w:sz w:val="20"/>
          <w:szCs w:val="20"/>
        </w:rPr>
      </w:pPr>
    </w:p>
    <w:p w14:paraId="2D593927" w14:textId="597ACF12" w:rsidR="00707EE1" w:rsidRDefault="00707EE1" w:rsidP="00707EE1">
      <w:pPr>
        <w:spacing w:after="0"/>
        <w:jc w:val="both"/>
      </w:pPr>
      <w:r w:rsidRPr="00AE14B1">
        <w:t>En marzo de 2021 se realizó una solicitud de modific</w:t>
      </w:r>
      <w:r w:rsidR="008A1A8C">
        <w:t xml:space="preserve">ación de la memoria del título </w:t>
      </w:r>
      <w:r w:rsidRPr="00AE14B1">
        <w:t>para corregir la modalidad de impartición del título que</w:t>
      </w:r>
      <w:r w:rsidR="008A1A8C">
        <w:t>,</w:t>
      </w:r>
      <w:r w:rsidRPr="00AE14B1">
        <w:t xml:space="preserve"> actualmente</w:t>
      </w:r>
      <w:r w:rsidR="008A1A8C">
        <w:t>,</w:t>
      </w:r>
      <w:r w:rsidRPr="00AE14B1">
        <w:t xml:space="preserve"> se especifica como semipresencial, cuando el máster siempre se ha impartido de forma presencial. Esto genera confusión entre los alumnos que muestran interés por cursarlo a la hora de realizar la prescripción. Además, se ha incluido en dicha solicitud el cambio de la asignatura de I+D+i en agroalimentación del primer semestre al segundo</w:t>
      </w:r>
      <w:r w:rsidR="008A1A8C">
        <w:t>, y</w:t>
      </w:r>
      <w:r w:rsidRPr="00AE14B1">
        <w:t>a que</w:t>
      </w:r>
      <w:r w:rsidR="008A1A8C">
        <w:t>,</w:t>
      </w:r>
      <w:r w:rsidRPr="00AE14B1">
        <w:t xml:space="preserve"> esta asignatura se finaliza con unas jornadas de I+D+i en Agroalimentación que se imparten de forma presencial, un día en la UCO y otro día en la UCO</w:t>
      </w:r>
      <w:r w:rsidR="008A1A8C">
        <w:t>, en el segundo semestre (mayo)</w:t>
      </w:r>
      <w:r w:rsidRPr="00AE14B1">
        <w:t>. En el curso 2021-22, dichas jornadas se desarrollaron en modalidad presencial síncrona.</w:t>
      </w:r>
      <w:r>
        <w:t xml:space="preserve"> </w:t>
      </w:r>
    </w:p>
    <w:p w14:paraId="52F249DC" w14:textId="77777777" w:rsidR="007F11A6" w:rsidRDefault="007F11A6" w:rsidP="008A0429">
      <w:pPr>
        <w:spacing w:after="0"/>
      </w:pPr>
    </w:p>
    <w:p w14:paraId="34085BB5" w14:textId="77777777" w:rsidR="00635338" w:rsidRPr="00AE14B1" w:rsidRDefault="00635338" w:rsidP="003A185B">
      <w:pPr>
        <w:spacing w:after="120" w:line="240" w:lineRule="auto"/>
        <w:jc w:val="both"/>
        <w:rPr>
          <w:rFonts w:asciiTheme="minorHAnsi" w:hAnsiTheme="minorHAnsi"/>
          <w:b/>
          <w:bCs/>
          <w:i/>
          <w:sz w:val="20"/>
          <w:szCs w:val="20"/>
        </w:rPr>
      </w:pPr>
      <w:r w:rsidRPr="00AE14B1">
        <w:rPr>
          <w:rFonts w:asciiTheme="minorHAnsi" w:hAnsiTheme="minorHAnsi"/>
          <w:b/>
          <w:bCs/>
          <w:i/>
          <w:sz w:val="20"/>
          <w:szCs w:val="20"/>
        </w:rPr>
        <w:t>Apartado COVID</w:t>
      </w:r>
    </w:p>
    <w:p w14:paraId="3FB2FFFA" w14:textId="77777777" w:rsidR="003A185B" w:rsidRPr="0070175D" w:rsidRDefault="003A185B" w:rsidP="003A185B">
      <w:pPr>
        <w:spacing w:after="120" w:line="240" w:lineRule="auto"/>
        <w:jc w:val="both"/>
        <w:rPr>
          <w:rFonts w:asciiTheme="minorHAnsi" w:hAnsiTheme="minorHAnsi"/>
          <w:i/>
          <w:color w:val="0070C0"/>
          <w:sz w:val="20"/>
          <w:szCs w:val="20"/>
        </w:rPr>
      </w:pPr>
    </w:p>
    <w:p w14:paraId="5112EFC3" w14:textId="77777777" w:rsidR="003A185B" w:rsidRPr="0070175D" w:rsidRDefault="003A185B" w:rsidP="003A185B">
      <w:pPr>
        <w:spacing w:after="120" w:line="240" w:lineRule="auto"/>
        <w:jc w:val="both"/>
        <w:rPr>
          <w:rStyle w:val="Hipervnculo"/>
          <w:rFonts w:asciiTheme="minorHAnsi" w:hAnsiTheme="minorHAnsi"/>
          <w:i/>
          <w:sz w:val="20"/>
          <w:szCs w:val="20"/>
        </w:rPr>
      </w:pPr>
      <w:r w:rsidRPr="0070175D">
        <w:rPr>
          <w:rFonts w:asciiTheme="minorHAnsi" w:hAnsiTheme="minorHAnsi"/>
          <w:i/>
          <w:sz w:val="20"/>
          <w:szCs w:val="20"/>
        </w:rPr>
        <w:t xml:space="preserve">Asimismo, en junio de 2020, los Rectores de las Universidades Andaluzas aprobaron </w:t>
      </w:r>
      <w:hyperlink r:id="rId27" w:history="1">
        <w:r w:rsidRPr="0070175D">
          <w:rPr>
            <w:rStyle w:val="Hipervnculo"/>
            <w:rFonts w:asciiTheme="minorHAnsi" w:hAnsiTheme="minorHAnsi"/>
            <w:i/>
            <w:sz w:val="20"/>
            <w:szCs w:val="20"/>
          </w:rPr>
          <w:t>los criterios comunes para la adaptación de la enseñanza universitaria a las exigencias  sanitarias derivadas de la epidemia  de la COVID19 durante el curso académico 2020/2021.</w:t>
        </w:r>
      </w:hyperlink>
    </w:p>
    <w:p w14:paraId="5E84F2CA" w14:textId="77777777" w:rsidR="00D135EE" w:rsidRPr="0070175D" w:rsidRDefault="00D135EE" w:rsidP="003A185B">
      <w:pPr>
        <w:spacing w:after="120" w:line="240" w:lineRule="auto"/>
        <w:jc w:val="both"/>
        <w:rPr>
          <w:rStyle w:val="Hipervnculo"/>
          <w:rFonts w:asciiTheme="minorHAnsi" w:hAnsiTheme="minorHAnsi"/>
          <w:i/>
          <w:sz w:val="20"/>
          <w:szCs w:val="20"/>
        </w:rPr>
      </w:pPr>
    </w:p>
    <w:p w14:paraId="2D631F41" w14:textId="77777777" w:rsidR="00D135EE" w:rsidRPr="0070175D" w:rsidRDefault="00D135EE" w:rsidP="00CE4F28">
      <w:pPr>
        <w:spacing w:after="120" w:line="240" w:lineRule="auto"/>
        <w:jc w:val="both"/>
        <w:rPr>
          <w:i/>
        </w:rPr>
      </w:pPr>
      <w:r w:rsidRPr="0070175D">
        <w:rPr>
          <w:i/>
        </w:rPr>
        <w:t>En</w:t>
      </w:r>
      <w:r w:rsidRPr="0070175D">
        <w:rPr>
          <w:rFonts w:asciiTheme="minorHAnsi" w:hAnsiTheme="minorHAnsi"/>
          <w:i/>
          <w:sz w:val="20"/>
          <w:szCs w:val="20"/>
        </w:rPr>
        <w:t xml:space="preserve"> base a lo anterior, la Comisión de Garantía de Calidad tomó las siguientes decisiones:</w:t>
      </w:r>
    </w:p>
    <w:p w14:paraId="4EB2BB5B" w14:textId="77777777" w:rsidR="00CE4F28" w:rsidRPr="001E72EF" w:rsidRDefault="00CE4F28" w:rsidP="00B416FA">
      <w:pPr>
        <w:pStyle w:val="Prrafodelista"/>
        <w:numPr>
          <w:ilvl w:val="0"/>
          <w:numId w:val="5"/>
        </w:numPr>
        <w:spacing w:after="120" w:line="240" w:lineRule="auto"/>
        <w:jc w:val="both"/>
        <w:rPr>
          <w:rStyle w:val="Hipervnculo"/>
          <w:rFonts w:asciiTheme="minorHAnsi" w:hAnsiTheme="minorHAnsi"/>
          <w:color w:val="auto"/>
          <w:sz w:val="20"/>
          <w:szCs w:val="20"/>
          <w:u w:val="none"/>
        </w:rPr>
      </w:pPr>
      <w:r w:rsidRPr="001E72EF">
        <w:rPr>
          <w:rStyle w:val="Hipervnculo"/>
          <w:rFonts w:asciiTheme="minorHAnsi" w:hAnsiTheme="minorHAnsi"/>
          <w:color w:val="auto"/>
          <w:sz w:val="20"/>
          <w:szCs w:val="20"/>
          <w:u w:val="none"/>
        </w:rPr>
        <w:t>Realizar los exámenes de la convocatoria de diciembre de 2020 en modalidad presencial para todos los títulos de la Facultad de Ciencias.</w:t>
      </w:r>
    </w:p>
    <w:p w14:paraId="39CA7B7C" w14:textId="77777777" w:rsidR="00CE4F28" w:rsidRPr="001E72EF" w:rsidRDefault="00CE4F28" w:rsidP="00B416FA">
      <w:pPr>
        <w:pStyle w:val="Prrafodelista"/>
        <w:numPr>
          <w:ilvl w:val="0"/>
          <w:numId w:val="5"/>
        </w:numPr>
        <w:spacing w:after="120" w:line="240" w:lineRule="auto"/>
        <w:jc w:val="both"/>
        <w:rPr>
          <w:rStyle w:val="Hipervnculo"/>
          <w:rFonts w:asciiTheme="minorHAnsi" w:hAnsiTheme="minorHAnsi"/>
          <w:color w:val="auto"/>
          <w:sz w:val="20"/>
          <w:szCs w:val="20"/>
          <w:u w:val="none"/>
        </w:rPr>
      </w:pPr>
      <w:r w:rsidRPr="001E72EF">
        <w:rPr>
          <w:rStyle w:val="Hipervnculo"/>
          <w:rFonts w:asciiTheme="minorHAnsi" w:hAnsiTheme="minorHAnsi"/>
          <w:color w:val="auto"/>
          <w:sz w:val="20"/>
          <w:szCs w:val="20"/>
          <w:u w:val="none"/>
        </w:rPr>
        <w:t>Realizar los exámenes finales de las asignaturas de los títulos de Máster, que corresponden a las convocatorias oficiales de febrero, en modalidad presencial.</w:t>
      </w:r>
    </w:p>
    <w:p w14:paraId="27F00D54" w14:textId="77777777" w:rsidR="00CE4F28" w:rsidRPr="001E72EF" w:rsidRDefault="00CE4F28" w:rsidP="00B416FA">
      <w:pPr>
        <w:pStyle w:val="Prrafodelista"/>
        <w:numPr>
          <w:ilvl w:val="0"/>
          <w:numId w:val="5"/>
        </w:numPr>
        <w:spacing w:after="120" w:line="240" w:lineRule="auto"/>
        <w:jc w:val="both"/>
        <w:rPr>
          <w:rStyle w:val="Hipervnculo"/>
          <w:rFonts w:asciiTheme="minorHAnsi" w:hAnsiTheme="minorHAnsi"/>
          <w:color w:val="auto"/>
          <w:sz w:val="20"/>
          <w:szCs w:val="20"/>
          <w:u w:val="none"/>
        </w:rPr>
      </w:pPr>
      <w:r w:rsidRPr="001E72EF">
        <w:rPr>
          <w:rStyle w:val="Hipervnculo"/>
          <w:rFonts w:asciiTheme="minorHAnsi" w:hAnsiTheme="minorHAnsi"/>
          <w:color w:val="auto"/>
          <w:sz w:val="20"/>
          <w:szCs w:val="20"/>
          <w:u w:val="none"/>
        </w:rPr>
        <w:t>Recomendar la realización de los exámenes parciales y pruebas de seguimiento en formato online.</w:t>
      </w:r>
    </w:p>
    <w:p w14:paraId="3F3C1BB8" w14:textId="77777777" w:rsidR="00CE4F28" w:rsidRPr="001E72EF" w:rsidRDefault="00CE4F28" w:rsidP="00B416FA">
      <w:pPr>
        <w:pStyle w:val="Prrafodelista"/>
        <w:numPr>
          <w:ilvl w:val="0"/>
          <w:numId w:val="5"/>
        </w:numPr>
        <w:spacing w:after="120" w:line="240" w:lineRule="auto"/>
        <w:jc w:val="both"/>
        <w:rPr>
          <w:rStyle w:val="Hipervnculo"/>
          <w:rFonts w:asciiTheme="minorHAnsi" w:hAnsiTheme="minorHAnsi"/>
          <w:color w:val="auto"/>
          <w:sz w:val="20"/>
          <w:szCs w:val="20"/>
          <w:u w:val="none"/>
        </w:rPr>
      </w:pPr>
      <w:r w:rsidRPr="001E72EF">
        <w:rPr>
          <w:rStyle w:val="Hipervnculo"/>
          <w:rFonts w:asciiTheme="minorHAnsi" w:hAnsiTheme="minorHAnsi"/>
          <w:color w:val="auto"/>
          <w:sz w:val="20"/>
          <w:szCs w:val="20"/>
          <w:u w:val="none"/>
        </w:rPr>
        <w:lastRenderedPageBreak/>
        <w:t>Autorizar la realización de exámenes parciales presenciales de aquellas asignaturas que, de acuerdo a lo establecido en los programas docentes y los planes de contingencia de las mismas, tengan prevista la realización de éstos de forma presencial, al amparo del artículo 5.2 del Reglamento de Evaluación de la Universidad de Cádiz, en el que se dice que deben tener la consideración de fuerza liberadora de materia objeto de examen previsto en la programación docente de la asignatura.</w:t>
      </w:r>
    </w:p>
    <w:p w14:paraId="6AADDF32" w14:textId="1FF9AE54" w:rsidR="004B67FA" w:rsidRPr="001E72EF" w:rsidRDefault="00CE4F28" w:rsidP="00B416FA">
      <w:pPr>
        <w:pStyle w:val="Prrafodelista"/>
        <w:numPr>
          <w:ilvl w:val="0"/>
          <w:numId w:val="5"/>
        </w:numPr>
        <w:spacing w:after="120" w:line="240" w:lineRule="auto"/>
        <w:jc w:val="both"/>
        <w:rPr>
          <w:rStyle w:val="Hipervnculo"/>
          <w:rFonts w:asciiTheme="minorHAnsi" w:hAnsiTheme="minorHAnsi"/>
          <w:color w:val="auto"/>
          <w:sz w:val="20"/>
          <w:szCs w:val="20"/>
          <w:u w:val="none"/>
        </w:rPr>
      </w:pPr>
      <w:r w:rsidRPr="001E72EF">
        <w:rPr>
          <w:rStyle w:val="Hipervnculo"/>
          <w:rFonts w:asciiTheme="minorHAnsi" w:hAnsiTheme="minorHAnsi"/>
          <w:color w:val="auto"/>
          <w:sz w:val="20"/>
          <w:szCs w:val="20"/>
          <w:u w:val="none"/>
        </w:rPr>
        <w:t>Posponer la decisión sobre la forma de realizar los exámenes de la convocatoria de febrero hasta conocer la situación epidemiológica y la normativa vigente en fechas más próximas a dicha convocatoria.</w:t>
      </w:r>
    </w:p>
    <w:p w14:paraId="5DBDE966" w14:textId="77777777" w:rsidR="004B67FA" w:rsidRPr="00EA534D" w:rsidRDefault="004B67FA" w:rsidP="00AE14B1">
      <w:pPr>
        <w:pStyle w:val="Prrafodelista"/>
        <w:spacing w:after="120" w:line="240" w:lineRule="auto"/>
        <w:jc w:val="both"/>
        <w:rPr>
          <w:rStyle w:val="Hipervnculo"/>
          <w:rFonts w:asciiTheme="minorHAnsi" w:hAnsiTheme="minorHAnsi"/>
          <w:color w:val="auto"/>
          <w:sz w:val="20"/>
          <w:szCs w:val="20"/>
        </w:rPr>
      </w:pPr>
    </w:p>
    <w:p w14:paraId="7C6F81E6" w14:textId="290314D5" w:rsidR="003A185B" w:rsidRPr="00AE14B1" w:rsidRDefault="004B67FA" w:rsidP="00AE14B1">
      <w:pPr>
        <w:ind w:firstLine="360"/>
        <w:rPr>
          <w:color w:val="0070C0"/>
          <w:sz w:val="20"/>
          <w:szCs w:val="20"/>
          <w:shd w:val="clear" w:color="auto" w:fill="FFFFFF"/>
        </w:rPr>
      </w:pPr>
      <w:r w:rsidRPr="00AE14B1">
        <w:rPr>
          <w:sz w:val="20"/>
          <w:szCs w:val="20"/>
        </w:rPr>
        <w:t xml:space="preserve">En la Universidad de Córdoba se adoptaron medidas </w:t>
      </w:r>
      <w:r w:rsidR="00F05575" w:rsidRPr="00AE14B1">
        <w:rPr>
          <w:sz w:val="20"/>
          <w:szCs w:val="20"/>
        </w:rPr>
        <w:t>similares,</w:t>
      </w:r>
      <w:r w:rsidRPr="00AE14B1">
        <w:rPr>
          <w:sz w:val="20"/>
          <w:szCs w:val="20"/>
        </w:rPr>
        <w:t xml:space="preserve"> aunque al haberse adoptado la docencia </w:t>
      </w:r>
      <w:r w:rsidR="008A1A8C">
        <w:rPr>
          <w:sz w:val="20"/>
          <w:szCs w:val="20"/>
        </w:rPr>
        <w:t xml:space="preserve">totalmente </w:t>
      </w:r>
      <w:r w:rsidRPr="00AE14B1">
        <w:rPr>
          <w:sz w:val="20"/>
          <w:szCs w:val="20"/>
        </w:rPr>
        <w:t>síncrona, no afectó a las cuestiones de presencialidad.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A185B" w:rsidRPr="00037BD7" w14:paraId="4CF7FB7F" w14:textId="77777777" w:rsidTr="00E75FD0">
        <w:trPr>
          <w:jc w:val="center"/>
        </w:trPr>
        <w:tc>
          <w:tcPr>
            <w:tcW w:w="5000" w:type="pct"/>
            <w:shd w:val="clear" w:color="auto" w:fill="00607C"/>
          </w:tcPr>
          <w:p w14:paraId="5CD75C2C" w14:textId="77777777" w:rsidR="003A185B" w:rsidRPr="00037BD7" w:rsidRDefault="003A185B" w:rsidP="00E75FD0">
            <w:pPr>
              <w:spacing w:after="0" w:line="240" w:lineRule="auto"/>
              <w:jc w:val="both"/>
              <w:rPr>
                <w:b/>
                <w:i/>
                <w:color w:val="FFFFFF"/>
                <w:sz w:val="20"/>
                <w:szCs w:val="20"/>
              </w:rPr>
            </w:pPr>
            <w:r w:rsidRPr="00037BD7">
              <w:rPr>
                <w:b/>
                <w:i/>
                <w:color w:val="FFFFFF"/>
                <w:sz w:val="20"/>
                <w:szCs w:val="20"/>
              </w:rPr>
              <w:t>Puntos Fuertes:</w:t>
            </w:r>
          </w:p>
        </w:tc>
      </w:tr>
      <w:tr w:rsidR="003A185B" w:rsidRPr="00037BD7" w14:paraId="4F467904" w14:textId="77777777" w:rsidTr="00E75FD0">
        <w:trPr>
          <w:jc w:val="center"/>
        </w:trPr>
        <w:tc>
          <w:tcPr>
            <w:tcW w:w="5000" w:type="pct"/>
            <w:tcBorders>
              <w:bottom w:val="single" w:sz="4" w:space="0" w:color="auto"/>
            </w:tcBorders>
          </w:tcPr>
          <w:p w14:paraId="1CD176F5" w14:textId="77777777" w:rsidR="00EA534D" w:rsidRDefault="00D9548F" w:rsidP="00E75FD0">
            <w:pPr>
              <w:autoSpaceDE w:val="0"/>
              <w:autoSpaceDN w:val="0"/>
              <w:adjustRightInd w:val="0"/>
              <w:spacing w:after="0" w:line="240" w:lineRule="auto"/>
              <w:jc w:val="both"/>
              <w:rPr>
                <w:sz w:val="18"/>
              </w:rPr>
            </w:pPr>
            <w:r>
              <w:rPr>
                <w:sz w:val="18"/>
              </w:rPr>
              <w:t xml:space="preserve">2020/21: </w:t>
            </w:r>
          </w:p>
          <w:p w14:paraId="7EFD9EBE" w14:textId="7A980B6A" w:rsidR="00EA534D" w:rsidRPr="00AE14B1" w:rsidRDefault="00EA534D" w:rsidP="00AE14B1">
            <w:pPr>
              <w:pStyle w:val="Prrafodelista"/>
              <w:numPr>
                <w:ilvl w:val="0"/>
                <w:numId w:val="8"/>
              </w:numPr>
              <w:autoSpaceDE w:val="0"/>
              <w:autoSpaceDN w:val="0"/>
              <w:adjustRightInd w:val="0"/>
              <w:spacing w:after="0" w:line="240" w:lineRule="auto"/>
              <w:jc w:val="both"/>
              <w:rPr>
                <w:sz w:val="16"/>
                <w:szCs w:val="16"/>
              </w:rPr>
            </w:pPr>
            <w:r w:rsidRPr="00AE14B1">
              <w:rPr>
                <w:sz w:val="16"/>
                <w:szCs w:val="16"/>
              </w:rPr>
              <w:t>Elevadas tasas de rendimiento, éxito y evaluación.</w:t>
            </w:r>
          </w:p>
          <w:p w14:paraId="778F4B3E" w14:textId="77777777" w:rsidR="009B7F1B" w:rsidRPr="00037BD7" w:rsidRDefault="009B7F1B" w:rsidP="00AE14B1">
            <w:pPr>
              <w:pStyle w:val="Prrafodelista"/>
              <w:numPr>
                <w:ilvl w:val="0"/>
                <w:numId w:val="8"/>
              </w:numPr>
            </w:pPr>
            <w:r w:rsidRPr="00AE14B1">
              <w:rPr>
                <w:sz w:val="16"/>
                <w:szCs w:val="16"/>
              </w:rPr>
              <w:t>Experiencia en docencia presencial síncrona y herramientas online de los docentes por el carácter interuniversitario del máster</w:t>
            </w:r>
          </w:p>
        </w:tc>
      </w:tr>
    </w:tbl>
    <w:p w14:paraId="5D9D7315" w14:textId="77777777" w:rsidR="003A185B" w:rsidRDefault="003A185B" w:rsidP="003A185B">
      <w:pPr>
        <w:spacing w:after="120" w:line="240" w:lineRule="auto"/>
        <w:jc w:val="both"/>
        <w:rPr>
          <w:rFonts w:asciiTheme="minorHAnsi" w:hAnsiTheme="minorHAnsi"/>
          <w:bCs/>
          <w:sz w:val="20"/>
          <w:szCs w:val="20"/>
        </w:rPr>
      </w:pPr>
    </w:p>
    <w:p w14:paraId="5AFB5F04" w14:textId="77777777" w:rsidR="003A185B" w:rsidRPr="008076C8" w:rsidRDefault="003A185B" w:rsidP="003A185B">
      <w:pPr>
        <w:pStyle w:val="Default"/>
        <w:jc w:val="both"/>
        <w:rPr>
          <w:rFonts w:asciiTheme="minorHAnsi" w:hAnsiTheme="minorHAnsi" w:cstheme="minorHAnsi"/>
          <w:color w:val="FF0000"/>
          <w:sz w:val="16"/>
          <w:szCs w:val="16"/>
        </w:rPr>
      </w:pPr>
    </w:p>
    <w:p w14:paraId="7878FA56" w14:textId="77777777" w:rsidR="003A185B" w:rsidRPr="0086419B" w:rsidRDefault="003A185B" w:rsidP="003A185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4085"/>
        <w:gridCol w:w="4086"/>
      </w:tblGrid>
      <w:tr w:rsidR="00FE670B" w:rsidRPr="008A24E7" w14:paraId="02FAFCDC" w14:textId="77777777" w:rsidTr="008C5798">
        <w:trPr>
          <w:jc w:val="center"/>
        </w:trPr>
        <w:tc>
          <w:tcPr>
            <w:tcW w:w="520" w:type="pct"/>
            <w:tcBorders>
              <w:left w:val="single" w:sz="4" w:space="0" w:color="auto"/>
              <w:right w:val="single" w:sz="4" w:space="0" w:color="auto"/>
            </w:tcBorders>
            <w:shd w:val="clear" w:color="auto" w:fill="auto"/>
            <w:vAlign w:val="center"/>
          </w:tcPr>
          <w:p w14:paraId="5428A5EF" w14:textId="77777777" w:rsidR="00FE670B" w:rsidRPr="004B4751" w:rsidRDefault="00FE670B" w:rsidP="00B65108">
            <w:pPr>
              <w:spacing w:after="0" w:line="240" w:lineRule="auto"/>
              <w:jc w:val="center"/>
              <w:rPr>
                <w:b/>
                <w:sz w:val="16"/>
                <w:szCs w:val="16"/>
              </w:rPr>
            </w:pPr>
            <w:r w:rsidRPr="004B4751">
              <w:rPr>
                <w:b/>
                <w:sz w:val="16"/>
                <w:szCs w:val="16"/>
              </w:rPr>
              <w:t xml:space="preserve">Fecha del informe </w:t>
            </w:r>
            <w:r>
              <w:rPr>
                <w:b/>
                <w:sz w:val="16"/>
                <w:szCs w:val="16"/>
              </w:rPr>
              <w:t>DEVA (Especificar tipo de informe DEVA) (*)</w:t>
            </w:r>
          </w:p>
        </w:tc>
        <w:tc>
          <w:tcPr>
            <w:tcW w:w="2240" w:type="pct"/>
            <w:tcBorders>
              <w:left w:val="single" w:sz="4" w:space="0" w:color="auto"/>
              <w:right w:val="single" w:sz="4" w:space="0" w:color="auto"/>
            </w:tcBorders>
            <w:shd w:val="clear" w:color="auto" w:fill="auto"/>
            <w:vAlign w:val="center"/>
          </w:tcPr>
          <w:p w14:paraId="3672A2DB" w14:textId="77777777" w:rsidR="00FE670B" w:rsidRPr="004B4751" w:rsidRDefault="00FE670B" w:rsidP="00B65108">
            <w:pPr>
              <w:spacing w:after="0" w:line="240" w:lineRule="auto"/>
              <w:jc w:val="center"/>
              <w:rPr>
                <w:b/>
                <w:sz w:val="16"/>
                <w:szCs w:val="16"/>
              </w:rPr>
            </w:pPr>
            <w:r>
              <w:rPr>
                <w:b/>
                <w:sz w:val="16"/>
                <w:szCs w:val="16"/>
              </w:rPr>
              <w:t>Recomendaciones recibidas</w:t>
            </w:r>
          </w:p>
        </w:tc>
        <w:tc>
          <w:tcPr>
            <w:tcW w:w="2240" w:type="pct"/>
            <w:tcBorders>
              <w:left w:val="single" w:sz="4" w:space="0" w:color="auto"/>
              <w:right w:val="single" w:sz="4" w:space="0" w:color="auto"/>
            </w:tcBorders>
            <w:shd w:val="clear" w:color="auto" w:fill="auto"/>
            <w:vAlign w:val="center"/>
          </w:tcPr>
          <w:p w14:paraId="66DE8E03" w14:textId="77777777" w:rsidR="00FE670B" w:rsidRPr="004B4751" w:rsidRDefault="00FE670B" w:rsidP="00B65108">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FE670B" w:rsidRPr="008A24E7" w14:paraId="1B0B3ECD" w14:textId="77777777" w:rsidTr="008C5798">
        <w:trPr>
          <w:jc w:val="center"/>
        </w:trPr>
        <w:tc>
          <w:tcPr>
            <w:tcW w:w="520" w:type="pct"/>
            <w:tcBorders>
              <w:left w:val="single" w:sz="4" w:space="0" w:color="auto"/>
              <w:right w:val="single" w:sz="4" w:space="0" w:color="auto"/>
            </w:tcBorders>
            <w:vAlign w:val="center"/>
          </w:tcPr>
          <w:p w14:paraId="71C32962" w14:textId="15A87AFF" w:rsidR="00FE670B" w:rsidRPr="004B4751" w:rsidRDefault="00F05575" w:rsidP="00B65108">
            <w:pPr>
              <w:spacing w:after="0" w:line="240" w:lineRule="auto"/>
              <w:ind w:left="-138"/>
              <w:jc w:val="center"/>
              <w:rPr>
                <w:sz w:val="16"/>
                <w:szCs w:val="16"/>
              </w:rPr>
            </w:pPr>
            <w:r>
              <w:rPr>
                <w:sz w:val="16"/>
                <w:szCs w:val="16"/>
              </w:rPr>
              <w:t>Julio 2021</w:t>
            </w:r>
          </w:p>
        </w:tc>
        <w:tc>
          <w:tcPr>
            <w:tcW w:w="2240" w:type="pct"/>
            <w:tcBorders>
              <w:left w:val="single" w:sz="4" w:space="0" w:color="auto"/>
              <w:right w:val="single" w:sz="4" w:space="0" w:color="auto"/>
            </w:tcBorders>
            <w:vAlign w:val="center"/>
          </w:tcPr>
          <w:p w14:paraId="67178DE9" w14:textId="77777777" w:rsidR="00FE670B" w:rsidRPr="004B4751" w:rsidRDefault="00FE670B" w:rsidP="00AE14B1">
            <w:pPr>
              <w:spacing w:after="0" w:line="240" w:lineRule="auto"/>
              <w:jc w:val="both"/>
              <w:rPr>
                <w:i/>
                <w:sz w:val="16"/>
                <w:szCs w:val="16"/>
              </w:rPr>
            </w:pPr>
            <w:r w:rsidRPr="004B4751">
              <w:rPr>
                <w:i/>
                <w:sz w:val="16"/>
                <w:szCs w:val="16"/>
              </w:rPr>
              <w:t xml:space="preserve">Recomendación nº </w:t>
            </w:r>
            <w:r w:rsidR="008C5798">
              <w:rPr>
                <w:i/>
                <w:sz w:val="16"/>
                <w:szCs w:val="16"/>
              </w:rPr>
              <w:t>3</w:t>
            </w:r>
            <w:r w:rsidRPr="004B4751">
              <w:rPr>
                <w:i/>
                <w:sz w:val="16"/>
                <w:szCs w:val="16"/>
              </w:rPr>
              <w:t>:</w:t>
            </w:r>
          </w:p>
          <w:p w14:paraId="0DAC176A" w14:textId="77777777" w:rsidR="008C5798" w:rsidRPr="00FD314D" w:rsidRDefault="008C5798" w:rsidP="00AE14B1">
            <w:pPr>
              <w:spacing w:after="0" w:line="240" w:lineRule="auto"/>
              <w:jc w:val="both"/>
              <w:rPr>
                <w:i/>
                <w:sz w:val="18"/>
                <w:szCs w:val="18"/>
              </w:rPr>
            </w:pPr>
            <w:r w:rsidRPr="00FD314D">
              <w:rPr>
                <w:i/>
                <w:sz w:val="18"/>
                <w:szCs w:val="18"/>
              </w:rPr>
              <w:t>Se recomienda reforzar la integración de las dos sedes del Máster de forma que se intensifique la interacción</w:t>
            </w:r>
          </w:p>
          <w:p w14:paraId="1E0AE2F9" w14:textId="77777777" w:rsidR="00FE670B" w:rsidRPr="008C5798" w:rsidRDefault="008C5798" w:rsidP="00AE14B1">
            <w:pPr>
              <w:spacing w:after="0" w:line="240" w:lineRule="auto"/>
              <w:jc w:val="both"/>
              <w:rPr>
                <w:i/>
                <w:color w:val="000000" w:themeColor="text1"/>
                <w:sz w:val="16"/>
                <w:szCs w:val="16"/>
              </w:rPr>
            </w:pPr>
            <w:r w:rsidRPr="00FD314D">
              <w:rPr>
                <w:i/>
                <w:sz w:val="18"/>
                <w:szCs w:val="18"/>
              </w:rPr>
              <w:t>entre el estudiantado de ambas universidades, para lo cual es preciso aumentar los recursos que se ponen a su disposición</w:t>
            </w:r>
            <w:r>
              <w:rPr>
                <w:i/>
                <w:sz w:val="18"/>
                <w:szCs w:val="18"/>
              </w:rPr>
              <w:t>.</w:t>
            </w:r>
          </w:p>
        </w:tc>
        <w:tc>
          <w:tcPr>
            <w:tcW w:w="2240" w:type="pct"/>
            <w:tcBorders>
              <w:left w:val="single" w:sz="4" w:space="0" w:color="auto"/>
              <w:right w:val="single" w:sz="4" w:space="0" w:color="auto"/>
            </w:tcBorders>
          </w:tcPr>
          <w:p w14:paraId="22B23D68" w14:textId="77777777" w:rsidR="00FE670B" w:rsidRPr="004B4751" w:rsidRDefault="00FE670B" w:rsidP="00AE14B1">
            <w:pPr>
              <w:spacing w:after="0" w:line="240" w:lineRule="auto"/>
              <w:jc w:val="both"/>
              <w:rPr>
                <w:sz w:val="16"/>
                <w:szCs w:val="16"/>
              </w:rPr>
            </w:pPr>
            <w:r w:rsidRPr="004B4751">
              <w:rPr>
                <w:sz w:val="16"/>
                <w:szCs w:val="16"/>
              </w:rPr>
              <w:t>Acción de mejora:</w:t>
            </w:r>
          </w:p>
          <w:p w14:paraId="2AEA752E" w14:textId="377B1B01" w:rsidR="008C5798" w:rsidRPr="00E90295" w:rsidRDefault="00A24F97" w:rsidP="00AE14B1">
            <w:pPr>
              <w:spacing w:after="0" w:line="240" w:lineRule="auto"/>
              <w:jc w:val="both"/>
              <w:rPr>
                <w:sz w:val="18"/>
                <w:szCs w:val="18"/>
              </w:rPr>
            </w:pPr>
            <w:r>
              <w:rPr>
                <w:sz w:val="16"/>
                <w:szCs w:val="16"/>
              </w:rPr>
              <w:t>Desde el curso 2019-20, s</w:t>
            </w:r>
            <w:r w:rsidRPr="001C39B9">
              <w:rPr>
                <w:sz w:val="16"/>
                <w:szCs w:val="16"/>
              </w:rPr>
              <w:t>e realiza</w:t>
            </w:r>
            <w:r>
              <w:rPr>
                <w:sz w:val="16"/>
                <w:szCs w:val="16"/>
              </w:rPr>
              <w:t>n</w:t>
            </w:r>
            <w:r w:rsidRPr="001C39B9">
              <w:rPr>
                <w:sz w:val="16"/>
                <w:szCs w:val="16"/>
              </w:rPr>
              <w:t xml:space="preserve"> unas Jornadas de presentación </w:t>
            </w:r>
            <w:r>
              <w:rPr>
                <w:sz w:val="16"/>
                <w:szCs w:val="16"/>
              </w:rPr>
              <w:t>del máster</w:t>
            </w:r>
            <w:r w:rsidRPr="001C39B9">
              <w:rPr>
                <w:sz w:val="16"/>
                <w:szCs w:val="16"/>
              </w:rPr>
              <w:t xml:space="preserve"> </w:t>
            </w:r>
            <w:r w:rsidR="0044218E">
              <w:rPr>
                <w:sz w:val="16"/>
                <w:szCs w:val="16"/>
              </w:rPr>
              <w:t xml:space="preserve">presenciales </w:t>
            </w:r>
            <w:r w:rsidRPr="001C39B9">
              <w:rPr>
                <w:sz w:val="16"/>
                <w:szCs w:val="16"/>
              </w:rPr>
              <w:t>para fomentar y propiciar la relación docente-social entre coordinadores y alumnos de ambas universidades</w:t>
            </w:r>
            <w:r w:rsidR="008C5798" w:rsidRPr="00FD314D">
              <w:rPr>
                <w:sz w:val="18"/>
                <w:szCs w:val="18"/>
              </w:rPr>
              <w:t>.</w:t>
            </w:r>
          </w:p>
          <w:p w14:paraId="7F9E3A9A" w14:textId="47D2C910" w:rsidR="00FE670B" w:rsidRPr="004B4751" w:rsidRDefault="0044218E" w:rsidP="00AE14B1">
            <w:pPr>
              <w:spacing w:after="0" w:line="240" w:lineRule="auto"/>
              <w:jc w:val="both"/>
              <w:rPr>
                <w:sz w:val="16"/>
                <w:szCs w:val="16"/>
              </w:rPr>
            </w:pPr>
            <w:r>
              <w:rPr>
                <w:sz w:val="18"/>
                <w:szCs w:val="18"/>
              </w:rPr>
              <w:t xml:space="preserve">Evidencia </w:t>
            </w:r>
            <w:r w:rsidR="008C5798" w:rsidRPr="007F360A">
              <w:rPr>
                <w:sz w:val="18"/>
                <w:szCs w:val="18"/>
              </w:rPr>
              <w:t>contrastable:</w:t>
            </w:r>
            <w:r>
              <w:rPr>
                <w:sz w:val="18"/>
                <w:szCs w:val="18"/>
              </w:rPr>
              <w:t xml:space="preserve"> </w:t>
            </w:r>
            <w:r w:rsidR="008C5798" w:rsidRPr="00E90295">
              <w:rPr>
                <w:b/>
                <w:sz w:val="18"/>
                <w:szCs w:val="18"/>
              </w:rPr>
              <w:t xml:space="preserve"> </w:t>
            </w:r>
            <w:hyperlink r:id="rId28" w:history="1">
              <w:r w:rsidRPr="0044218E">
                <w:rPr>
                  <w:rStyle w:val="Hipervnculo"/>
                  <w:sz w:val="18"/>
                  <w:szCs w:val="18"/>
                </w:rPr>
                <w:t>https://ciencias.uca.es/41105-2/</w:t>
              </w:r>
            </w:hyperlink>
          </w:p>
          <w:p w14:paraId="743B1E6D" w14:textId="77777777" w:rsidR="00FE670B" w:rsidRPr="004B4751" w:rsidRDefault="00FE670B" w:rsidP="00AE14B1">
            <w:pPr>
              <w:spacing w:after="0" w:line="240" w:lineRule="auto"/>
              <w:jc w:val="both"/>
              <w:rPr>
                <w:b/>
                <w:sz w:val="16"/>
                <w:szCs w:val="16"/>
              </w:rPr>
            </w:pPr>
          </w:p>
        </w:tc>
      </w:tr>
    </w:tbl>
    <w:p w14:paraId="1974F40D"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61A7B859" w14:textId="77777777" w:rsidR="008076C8" w:rsidRDefault="008076C8" w:rsidP="00F2355C">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86419B" w14:paraId="2168ED30" w14:textId="77777777" w:rsidTr="00BB1529">
        <w:trPr>
          <w:jc w:val="center"/>
        </w:trPr>
        <w:tc>
          <w:tcPr>
            <w:tcW w:w="5000" w:type="pct"/>
            <w:shd w:val="clear" w:color="auto" w:fill="D9D9D9"/>
          </w:tcPr>
          <w:p w14:paraId="7A581D4C" w14:textId="77777777" w:rsidR="00786FAB" w:rsidRPr="000C41E0" w:rsidRDefault="00786FAB" w:rsidP="00B416FA">
            <w:pPr>
              <w:pStyle w:val="Prrafodelista"/>
              <w:numPr>
                <w:ilvl w:val="0"/>
                <w:numId w:val="3"/>
              </w:numPr>
              <w:spacing w:before="60" w:after="60" w:line="240" w:lineRule="auto"/>
              <w:ind w:left="300" w:hanging="357"/>
              <w:contextualSpacing w:val="0"/>
              <w:rPr>
                <w:b/>
                <w:i/>
              </w:rPr>
            </w:pPr>
            <w:r>
              <w:rPr>
                <w:b/>
                <w:i/>
              </w:rPr>
              <w:t>PROFESORADO</w:t>
            </w:r>
          </w:p>
        </w:tc>
      </w:tr>
    </w:tbl>
    <w:p w14:paraId="51601896" w14:textId="77777777" w:rsidR="00786FAB" w:rsidRDefault="00786FAB" w:rsidP="00F2355C">
      <w:pPr>
        <w:spacing w:after="0"/>
      </w:pPr>
    </w:p>
    <w:p w14:paraId="6E9C1DA3" w14:textId="77777777" w:rsidR="007C4E76" w:rsidRPr="00BD7414" w:rsidRDefault="007C4E76" w:rsidP="007C4E76">
      <w:pPr>
        <w:spacing w:after="0" w:line="240" w:lineRule="auto"/>
        <w:jc w:val="both"/>
        <w:rPr>
          <w:rFonts w:asciiTheme="minorHAnsi" w:hAnsiTheme="minorHAnsi"/>
          <w:color w:val="FFFFFF"/>
        </w:rPr>
      </w:pPr>
      <w:r w:rsidRPr="00C71BAF">
        <w:rPr>
          <w:rFonts w:asciiTheme="minorHAnsi" w:hAnsiTheme="minorHAnsi"/>
          <w:b/>
          <w:i/>
        </w:rPr>
        <w:t>Análisis y Valoración:</w:t>
      </w:r>
    </w:p>
    <w:p w14:paraId="7629ECAC" w14:textId="77777777" w:rsidR="007C4E76" w:rsidRPr="00A946E3" w:rsidRDefault="007C4E76" w:rsidP="007C4E76">
      <w:pPr>
        <w:spacing w:after="120" w:line="240" w:lineRule="auto"/>
        <w:jc w:val="both"/>
        <w:rPr>
          <w:rFonts w:asciiTheme="minorHAnsi" w:hAnsiTheme="minorHAnsi"/>
          <w:bCs/>
          <w:color w:val="FF0000"/>
          <w:sz w:val="16"/>
          <w:szCs w:val="16"/>
        </w:rPr>
      </w:pPr>
    </w:p>
    <w:tbl>
      <w:tblPr>
        <w:tblW w:w="5113" w:type="pct"/>
        <w:tblLayout w:type="fixed"/>
        <w:tblCellMar>
          <w:left w:w="70" w:type="dxa"/>
          <w:right w:w="70" w:type="dxa"/>
        </w:tblCellMar>
        <w:tblLook w:val="04A0" w:firstRow="1" w:lastRow="0" w:firstColumn="1" w:lastColumn="0" w:noHBand="0" w:noVBand="1"/>
      </w:tblPr>
      <w:tblGrid>
        <w:gridCol w:w="5777"/>
        <w:gridCol w:w="745"/>
        <w:gridCol w:w="569"/>
        <w:gridCol w:w="706"/>
        <w:gridCol w:w="851"/>
        <w:gridCol w:w="709"/>
      </w:tblGrid>
      <w:tr w:rsidR="004B67FA" w:rsidRPr="007842FA" w14:paraId="2D83CC8B" w14:textId="77777777" w:rsidTr="00AE14B1">
        <w:trPr>
          <w:trHeight w:val="600"/>
        </w:trPr>
        <w:tc>
          <w:tcPr>
            <w:tcW w:w="3087" w:type="pct"/>
            <w:tcBorders>
              <w:top w:val="single" w:sz="4" w:space="0" w:color="000000"/>
              <w:left w:val="nil"/>
              <w:bottom w:val="single" w:sz="4" w:space="0" w:color="000000"/>
              <w:right w:val="single" w:sz="4" w:space="0" w:color="000000"/>
            </w:tcBorders>
            <w:shd w:val="clear" w:color="000000" w:fill="003366"/>
            <w:vAlign w:val="center"/>
            <w:hideMark/>
          </w:tcPr>
          <w:p w14:paraId="08CA200C" w14:textId="77777777" w:rsidR="007842FA" w:rsidRPr="007842FA" w:rsidRDefault="007842FA" w:rsidP="007842FA">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INDICADOR (TÍTULO)</w:t>
            </w:r>
          </w:p>
        </w:tc>
        <w:tc>
          <w:tcPr>
            <w:tcW w:w="398" w:type="pct"/>
            <w:tcBorders>
              <w:top w:val="single" w:sz="4" w:space="0" w:color="000000"/>
              <w:left w:val="nil"/>
              <w:bottom w:val="single" w:sz="4" w:space="0" w:color="000000"/>
              <w:right w:val="single" w:sz="4" w:space="0" w:color="000000"/>
            </w:tcBorders>
            <w:shd w:val="clear" w:color="000000" w:fill="003366"/>
            <w:vAlign w:val="center"/>
            <w:hideMark/>
          </w:tcPr>
          <w:p w14:paraId="4D3C3317" w14:textId="77777777" w:rsidR="007842FA" w:rsidRPr="007842FA" w:rsidRDefault="007842FA" w:rsidP="007842FA">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2016-17</w:t>
            </w:r>
          </w:p>
        </w:tc>
        <w:tc>
          <w:tcPr>
            <w:tcW w:w="304" w:type="pct"/>
            <w:tcBorders>
              <w:top w:val="single" w:sz="4" w:space="0" w:color="000000"/>
              <w:left w:val="nil"/>
              <w:bottom w:val="single" w:sz="4" w:space="0" w:color="000000"/>
              <w:right w:val="single" w:sz="4" w:space="0" w:color="000000"/>
            </w:tcBorders>
            <w:shd w:val="clear" w:color="000000" w:fill="003366"/>
            <w:vAlign w:val="center"/>
            <w:hideMark/>
          </w:tcPr>
          <w:p w14:paraId="1980E52E" w14:textId="77777777" w:rsidR="007842FA" w:rsidRPr="007842FA" w:rsidRDefault="007842FA" w:rsidP="007842FA">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2017-18</w:t>
            </w:r>
          </w:p>
        </w:tc>
        <w:tc>
          <w:tcPr>
            <w:tcW w:w="377" w:type="pct"/>
            <w:tcBorders>
              <w:top w:val="single" w:sz="4" w:space="0" w:color="000000"/>
              <w:left w:val="nil"/>
              <w:bottom w:val="single" w:sz="4" w:space="0" w:color="000000"/>
              <w:right w:val="single" w:sz="4" w:space="0" w:color="000000"/>
            </w:tcBorders>
            <w:shd w:val="clear" w:color="000000" w:fill="003366"/>
            <w:vAlign w:val="center"/>
            <w:hideMark/>
          </w:tcPr>
          <w:p w14:paraId="00E4D7CD" w14:textId="77777777" w:rsidR="007842FA" w:rsidRPr="007842FA" w:rsidRDefault="007842FA" w:rsidP="007842FA">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2018-19</w:t>
            </w:r>
          </w:p>
        </w:tc>
        <w:tc>
          <w:tcPr>
            <w:tcW w:w="455" w:type="pct"/>
            <w:tcBorders>
              <w:top w:val="single" w:sz="4" w:space="0" w:color="000000"/>
              <w:left w:val="nil"/>
              <w:bottom w:val="single" w:sz="4" w:space="0" w:color="000000"/>
              <w:right w:val="single" w:sz="4" w:space="0" w:color="000000"/>
            </w:tcBorders>
            <w:shd w:val="clear" w:color="000000" w:fill="003366"/>
            <w:vAlign w:val="center"/>
            <w:hideMark/>
          </w:tcPr>
          <w:p w14:paraId="66378EE4" w14:textId="77777777" w:rsidR="007842FA" w:rsidRPr="007842FA" w:rsidRDefault="007842FA" w:rsidP="007842FA">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2019-20</w:t>
            </w:r>
          </w:p>
        </w:tc>
        <w:tc>
          <w:tcPr>
            <w:tcW w:w="379" w:type="pct"/>
            <w:tcBorders>
              <w:top w:val="single" w:sz="4" w:space="0" w:color="000000"/>
              <w:left w:val="nil"/>
              <w:bottom w:val="single" w:sz="4" w:space="0" w:color="000000"/>
              <w:right w:val="single" w:sz="4" w:space="0" w:color="000000"/>
            </w:tcBorders>
            <w:shd w:val="clear" w:color="000000" w:fill="003366"/>
            <w:vAlign w:val="center"/>
            <w:hideMark/>
          </w:tcPr>
          <w:p w14:paraId="7C719C3D" w14:textId="77777777" w:rsidR="007842FA" w:rsidRPr="007842FA" w:rsidRDefault="007842FA" w:rsidP="007842FA">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2020-21</w:t>
            </w:r>
          </w:p>
        </w:tc>
      </w:tr>
      <w:tr w:rsidR="004B67FA" w:rsidRPr="007842FA" w14:paraId="627064D3" w14:textId="77777777" w:rsidTr="00AE14B1">
        <w:trPr>
          <w:trHeight w:val="260"/>
        </w:trPr>
        <w:tc>
          <w:tcPr>
            <w:tcW w:w="3087" w:type="pct"/>
            <w:tcBorders>
              <w:top w:val="nil"/>
              <w:left w:val="nil"/>
              <w:bottom w:val="single" w:sz="4" w:space="0" w:color="000000"/>
              <w:right w:val="nil"/>
            </w:tcBorders>
            <w:shd w:val="clear" w:color="000000" w:fill="C0C0C0"/>
            <w:vAlign w:val="center"/>
            <w:hideMark/>
          </w:tcPr>
          <w:p w14:paraId="344AB80E"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ISGC-P05-02: Participación del profesorado en acciones formativas.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3B679"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sidRPr="009C2966">
              <w:rPr>
                <w:rFonts w:asciiTheme="minorHAnsi" w:eastAsia="Times New Roman" w:hAnsiTheme="minorHAnsi"/>
                <w:color w:val="000000"/>
                <w:sz w:val="16"/>
                <w:szCs w:val="16"/>
                <w:lang w:eastAsia="es-ES"/>
              </w:rPr>
              <w:t>58,97%</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4FBFB14"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54%</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71DBEDC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53,85%</w:t>
            </w:r>
            <w:r w:rsidRPr="00F5320F">
              <w:rPr>
                <w:rFonts w:asciiTheme="minorHAnsi" w:eastAsia="Times New Roman" w:hAnsiTheme="minorHAnsi"/>
                <w:color w:val="000000"/>
                <w:sz w:val="16"/>
                <w:szCs w:val="16"/>
                <w:lang w:eastAsia="es-ES"/>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1D3ED2E0"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65%</w:t>
            </w:r>
            <w:r w:rsidRPr="00F5320F">
              <w:rPr>
                <w:rFonts w:asciiTheme="minorHAnsi" w:eastAsia="Times New Roman" w:hAnsiTheme="minorHAnsi"/>
                <w:color w:val="000000"/>
                <w:sz w:val="16"/>
                <w:szCs w:val="16"/>
                <w:lang w:eastAsia="es-ES"/>
              </w:rPr>
              <w:t>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0E2CA987"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65,85%</w:t>
            </w:r>
          </w:p>
        </w:tc>
      </w:tr>
      <w:tr w:rsidR="004B67FA" w:rsidRPr="007842FA" w14:paraId="64DE6BC1" w14:textId="77777777" w:rsidTr="00AE14B1">
        <w:trPr>
          <w:trHeight w:val="260"/>
        </w:trPr>
        <w:tc>
          <w:tcPr>
            <w:tcW w:w="3087" w:type="pct"/>
            <w:tcBorders>
              <w:top w:val="nil"/>
              <w:left w:val="nil"/>
              <w:bottom w:val="single" w:sz="4" w:space="0" w:color="000000"/>
              <w:right w:val="nil"/>
            </w:tcBorders>
            <w:shd w:val="clear" w:color="000000" w:fill="C0C0C0"/>
            <w:vAlign w:val="center"/>
            <w:hideMark/>
          </w:tcPr>
          <w:p w14:paraId="0CD8E91E"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7873DE0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43,59%</w:t>
            </w:r>
          </w:p>
        </w:tc>
        <w:tc>
          <w:tcPr>
            <w:tcW w:w="304" w:type="pct"/>
            <w:tcBorders>
              <w:top w:val="nil"/>
              <w:left w:val="nil"/>
              <w:bottom w:val="single" w:sz="4" w:space="0" w:color="auto"/>
              <w:right w:val="single" w:sz="4" w:space="0" w:color="auto"/>
            </w:tcBorders>
            <w:shd w:val="clear" w:color="auto" w:fill="auto"/>
            <w:vAlign w:val="center"/>
            <w:hideMark/>
          </w:tcPr>
          <w:p w14:paraId="101A240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68%</w:t>
            </w:r>
          </w:p>
        </w:tc>
        <w:tc>
          <w:tcPr>
            <w:tcW w:w="377" w:type="pct"/>
            <w:tcBorders>
              <w:top w:val="nil"/>
              <w:left w:val="nil"/>
              <w:bottom w:val="single" w:sz="4" w:space="0" w:color="auto"/>
              <w:right w:val="single" w:sz="4" w:space="0" w:color="auto"/>
            </w:tcBorders>
            <w:shd w:val="clear" w:color="auto" w:fill="auto"/>
            <w:vAlign w:val="center"/>
            <w:hideMark/>
          </w:tcPr>
          <w:p w14:paraId="55E55797"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51,28%</w:t>
            </w:r>
          </w:p>
        </w:tc>
        <w:tc>
          <w:tcPr>
            <w:tcW w:w="455" w:type="pct"/>
            <w:tcBorders>
              <w:top w:val="nil"/>
              <w:left w:val="nil"/>
              <w:bottom w:val="single" w:sz="4" w:space="0" w:color="auto"/>
              <w:right w:val="single" w:sz="4" w:space="0" w:color="auto"/>
            </w:tcBorders>
            <w:shd w:val="clear" w:color="auto" w:fill="auto"/>
            <w:vAlign w:val="center"/>
            <w:hideMark/>
          </w:tcPr>
          <w:p w14:paraId="5A5E3264"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62,5%</w:t>
            </w:r>
            <w:r w:rsidRPr="00F5320F">
              <w:rPr>
                <w:rFonts w:asciiTheme="minorHAnsi" w:eastAsia="Times New Roman" w:hAnsiTheme="minorHAnsi"/>
                <w:color w:val="000000"/>
                <w:sz w:val="16"/>
                <w:szCs w:val="16"/>
                <w:lang w:eastAsia="es-ES"/>
              </w:rPr>
              <w:t> </w:t>
            </w:r>
          </w:p>
        </w:tc>
        <w:tc>
          <w:tcPr>
            <w:tcW w:w="379" w:type="pct"/>
            <w:tcBorders>
              <w:top w:val="nil"/>
              <w:left w:val="nil"/>
              <w:bottom w:val="single" w:sz="4" w:space="0" w:color="auto"/>
              <w:right w:val="single" w:sz="4" w:space="0" w:color="auto"/>
            </w:tcBorders>
            <w:shd w:val="clear" w:color="auto" w:fill="auto"/>
            <w:vAlign w:val="center"/>
            <w:hideMark/>
          </w:tcPr>
          <w:p w14:paraId="6AC00DC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65,85%</w:t>
            </w:r>
          </w:p>
        </w:tc>
      </w:tr>
      <w:tr w:rsidR="004B67FA" w:rsidRPr="007842FA" w14:paraId="2A39D6F4" w14:textId="77777777" w:rsidTr="00AE14B1">
        <w:trPr>
          <w:trHeight w:val="260"/>
        </w:trPr>
        <w:tc>
          <w:tcPr>
            <w:tcW w:w="3087" w:type="pct"/>
            <w:tcBorders>
              <w:top w:val="nil"/>
              <w:left w:val="nil"/>
              <w:bottom w:val="single" w:sz="4" w:space="0" w:color="000000"/>
              <w:right w:val="nil"/>
            </w:tcBorders>
            <w:shd w:val="clear" w:color="000000" w:fill="C0C0C0"/>
            <w:vAlign w:val="center"/>
            <w:hideMark/>
          </w:tcPr>
          <w:p w14:paraId="43D8B5BD"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6BC0D957"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4,4 </w:t>
            </w:r>
          </w:p>
        </w:tc>
        <w:tc>
          <w:tcPr>
            <w:tcW w:w="304" w:type="pct"/>
            <w:tcBorders>
              <w:top w:val="nil"/>
              <w:left w:val="nil"/>
              <w:bottom w:val="single" w:sz="4" w:space="0" w:color="auto"/>
              <w:right w:val="single" w:sz="4" w:space="0" w:color="auto"/>
            </w:tcBorders>
            <w:shd w:val="clear" w:color="auto" w:fill="auto"/>
            <w:vAlign w:val="center"/>
            <w:hideMark/>
          </w:tcPr>
          <w:p w14:paraId="605EDBF5"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4,4 </w:t>
            </w:r>
          </w:p>
        </w:tc>
        <w:tc>
          <w:tcPr>
            <w:tcW w:w="377" w:type="pct"/>
            <w:tcBorders>
              <w:top w:val="nil"/>
              <w:left w:val="nil"/>
              <w:bottom w:val="single" w:sz="4" w:space="0" w:color="auto"/>
              <w:right w:val="single" w:sz="4" w:space="0" w:color="auto"/>
            </w:tcBorders>
            <w:shd w:val="clear" w:color="auto" w:fill="auto"/>
            <w:vAlign w:val="center"/>
            <w:hideMark/>
          </w:tcPr>
          <w:p w14:paraId="322941D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4,2 </w:t>
            </w:r>
          </w:p>
        </w:tc>
        <w:tc>
          <w:tcPr>
            <w:tcW w:w="455" w:type="pct"/>
            <w:tcBorders>
              <w:top w:val="nil"/>
              <w:left w:val="nil"/>
              <w:bottom w:val="single" w:sz="4" w:space="0" w:color="auto"/>
              <w:right w:val="single" w:sz="4" w:space="0" w:color="auto"/>
            </w:tcBorders>
            <w:shd w:val="clear" w:color="auto" w:fill="auto"/>
            <w:vAlign w:val="center"/>
            <w:hideMark/>
          </w:tcPr>
          <w:p w14:paraId="73D0786C"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 4,4</w:t>
            </w:r>
          </w:p>
        </w:tc>
        <w:tc>
          <w:tcPr>
            <w:tcW w:w="379" w:type="pct"/>
            <w:tcBorders>
              <w:top w:val="nil"/>
              <w:left w:val="nil"/>
              <w:bottom w:val="single" w:sz="4" w:space="0" w:color="auto"/>
              <w:right w:val="single" w:sz="4" w:space="0" w:color="auto"/>
            </w:tcBorders>
            <w:shd w:val="clear" w:color="auto" w:fill="auto"/>
            <w:vAlign w:val="center"/>
            <w:hideMark/>
          </w:tcPr>
          <w:p w14:paraId="1FA8CFD5"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4,6</w:t>
            </w:r>
          </w:p>
        </w:tc>
      </w:tr>
      <w:tr w:rsidR="004B67FA" w:rsidRPr="007842FA" w14:paraId="07615209" w14:textId="77777777" w:rsidTr="00AE14B1">
        <w:trPr>
          <w:trHeight w:val="520"/>
        </w:trPr>
        <w:tc>
          <w:tcPr>
            <w:tcW w:w="3087" w:type="pct"/>
            <w:tcBorders>
              <w:top w:val="nil"/>
              <w:left w:val="nil"/>
              <w:bottom w:val="single" w:sz="4" w:space="0" w:color="000000"/>
              <w:right w:val="nil"/>
            </w:tcBorders>
            <w:shd w:val="clear" w:color="000000" w:fill="C0C0C0"/>
            <w:vAlign w:val="center"/>
            <w:hideMark/>
          </w:tcPr>
          <w:p w14:paraId="07F80771"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51422163"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39,02%</w:t>
            </w:r>
            <w:r w:rsidRPr="00F5320F">
              <w:rPr>
                <w:rFonts w:asciiTheme="minorHAnsi" w:eastAsia="Times New Roman" w:hAnsiTheme="minorHAnsi"/>
                <w:color w:val="000000"/>
                <w:sz w:val="16"/>
                <w:szCs w:val="16"/>
                <w:lang w:eastAsia="es-ES"/>
              </w:rPr>
              <w:t> </w:t>
            </w:r>
          </w:p>
        </w:tc>
        <w:tc>
          <w:tcPr>
            <w:tcW w:w="304" w:type="pct"/>
            <w:tcBorders>
              <w:top w:val="nil"/>
              <w:left w:val="nil"/>
              <w:bottom w:val="single" w:sz="4" w:space="0" w:color="auto"/>
              <w:right w:val="single" w:sz="4" w:space="0" w:color="auto"/>
            </w:tcBorders>
            <w:shd w:val="clear" w:color="auto" w:fill="auto"/>
            <w:vAlign w:val="center"/>
            <w:hideMark/>
          </w:tcPr>
          <w:p w14:paraId="7107BAA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38%</w:t>
            </w:r>
          </w:p>
        </w:tc>
        <w:tc>
          <w:tcPr>
            <w:tcW w:w="377" w:type="pct"/>
            <w:tcBorders>
              <w:top w:val="nil"/>
              <w:left w:val="nil"/>
              <w:bottom w:val="single" w:sz="4" w:space="0" w:color="auto"/>
              <w:right w:val="single" w:sz="4" w:space="0" w:color="auto"/>
            </w:tcBorders>
            <w:shd w:val="clear" w:color="auto" w:fill="auto"/>
            <w:vAlign w:val="center"/>
            <w:hideMark/>
          </w:tcPr>
          <w:p w14:paraId="5090F495"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30,77%</w:t>
            </w:r>
            <w:r w:rsidRPr="00F5320F">
              <w:rPr>
                <w:rFonts w:asciiTheme="minorHAnsi" w:eastAsia="Times New Roman" w:hAnsiTheme="minorHAnsi"/>
                <w:color w:val="000000"/>
                <w:sz w:val="16"/>
                <w:szCs w:val="16"/>
                <w:lang w:eastAsia="es-ES"/>
              </w:rPr>
              <w:t> </w:t>
            </w:r>
          </w:p>
        </w:tc>
        <w:tc>
          <w:tcPr>
            <w:tcW w:w="455" w:type="pct"/>
            <w:tcBorders>
              <w:top w:val="nil"/>
              <w:left w:val="nil"/>
              <w:bottom w:val="single" w:sz="4" w:space="0" w:color="auto"/>
              <w:right w:val="single" w:sz="4" w:space="0" w:color="auto"/>
            </w:tcBorders>
            <w:shd w:val="clear" w:color="auto" w:fill="auto"/>
            <w:vAlign w:val="center"/>
            <w:hideMark/>
          </w:tcPr>
          <w:p w14:paraId="6403D676"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30%</w:t>
            </w:r>
          </w:p>
        </w:tc>
        <w:tc>
          <w:tcPr>
            <w:tcW w:w="379" w:type="pct"/>
            <w:tcBorders>
              <w:top w:val="nil"/>
              <w:left w:val="nil"/>
              <w:bottom w:val="single" w:sz="4" w:space="0" w:color="auto"/>
              <w:right w:val="single" w:sz="4" w:space="0" w:color="auto"/>
            </w:tcBorders>
            <w:shd w:val="clear" w:color="auto" w:fill="auto"/>
            <w:vAlign w:val="center"/>
            <w:hideMark/>
          </w:tcPr>
          <w:p w14:paraId="02476103"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48,78%</w:t>
            </w:r>
          </w:p>
        </w:tc>
      </w:tr>
      <w:tr w:rsidR="004B67FA" w:rsidRPr="007842FA" w14:paraId="6EEC2A72" w14:textId="77777777" w:rsidTr="00AE14B1">
        <w:trPr>
          <w:trHeight w:val="520"/>
        </w:trPr>
        <w:tc>
          <w:tcPr>
            <w:tcW w:w="3087" w:type="pct"/>
            <w:tcBorders>
              <w:top w:val="nil"/>
              <w:left w:val="nil"/>
              <w:bottom w:val="single" w:sz="4" w:space="0" w:color="000000"/>
              <w:right w:val="nil"/>
            </w:tcBorders>
            <w:shd w:val="clear" w:color="000000" w:fill="C0C0C0"/>
            <w:vAlign w:val="center"/>
            <w:hideMark/>
          </w:tcPr>
          <w:p w14:paraId="3B94E19D"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59A0134C"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color w:val="000000"/>
                <w:sz w:val="16"/>
                <w:szCs w:val="16"/>
                <w:lang w:eastAsia="es-ES"/>
              </w:rPr>
              <w:t>87,5%</w:t>
            </w:r>
          </w:p>
        </w:tc>
        <w:tc>
          <w:tcPr>
            <w:tcW w:w="304" w:type="pct"/>
            <w:tcBorders>
              <w:top w:val="nil"/>
              <w:left w:val="nil"/>
              <w:bottom w:val="single" w:sz="4" w:space="0" w:color="auto"/>
              <w:right w:val="single" w:sz="4" w:space="0" w:color="auto"/>
            </w:tcBorders>
            <w:shd w:val="clear" w:color="auto" w:fill="auto"/>
            <w:vAlign w:val="center"/>
            <w:hideMark/>
          </w:tcPr>
          <w:p w14:paraId="6D114244"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78,9%</w:t>
            </w:r>
          </w:p>
        </w:tc>
        <w:tc>
          <w:tcPr>
            <w:tcW w:w="377" w:type="pct"/>
            <w:tcBorders>
              <w:top w:val="nil"/>
              <w:left w:val="nil"/>
              <w:bottom w:val="single" w:sz="4" w:space="0" w:color="auto"/>
              <w:right w:val="single" w:sz="4" w:space="0" w:color="auto"/>
            </w:tcBorders>
            <w:shd w:val="clear" w:color="auto" w:fill="auto"/>
            <w:vAlign w:val="center"/>
            <w:hideMark/>
          </w:tcPr>
          <w:p w14:paraId="4A282DF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91,67%</w:t>
            </w:r>
          </w:p>
        </w:tc>
        <w:tc>
          <w:tcPr>
            <w:tcW w:w="455" w:type="pct"/>
            <w:tcBorders>
              <w:top w:val="nil"/>
              <w:left w:val="nil"/>
              <w:bottom w:val="single" w:sz="4" w:space="0" w:color="auto"/>
              <w:right w:val="single" w:sz="4" w:space="0" w:color="auto"/>
            </w:tcBorders>
            <w:shd w:val="clear" w:color="auto" w:fill="auto"/>
            <w:vAlign w:val="center"/>
            <w:hideMark/>
          </w:tcPr>
          <w:p w14:paraId="0278B2A8"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91,67%</w:t>
            </w:r>
            <w:r w:rsidRPr="00F5320F">
              <w:rPr>
                <w:rFonts w:asciiTheme="minorHAnsi" w:eastAsia="Times New Roman" w:hAnsiTheme="minorHAnsi"/>
                <w:color w:val="000000"/>
                <w:sz w:val="16"/>
                <w:szCs w:val="16"/>
                <w:lang w:eastAsia="es-ES"/>
              </w:rPr>
              <w:t> </w:t>
            </w:r>
          </w:p>
        </w:tc>
        <w:tc>
          <w:tcPr>
            <w:tcW w:w="379" w:type="pct"/>
            <w:tcBorders>
              <w:top w:val="nil"/>
              <w:left w:val="nil"/>
              <w:bottom w:val="single" w:sz="4" w:space="0" w:color="auto"/>
              <w:right w:val="single" w:sz="4" w:space="0" w:color="auto"/>
            </w:tcBorders>
            <w:shd w:val="clear" w:color="auto" w:fill="auto"/>
            <w:vAlign w:val="center"/>
            <w:hideMark/>
          </w:tcPr>
          <w:p w14:paraId="6B6A7A8C"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100%</w:t>
            </w:r>
          </w:p>
        </w:tc>
      </w:tr>
      <w:tr w:rsidR="004B67FA" w:rsidRPr="007842FA" w14:paraId="69B9E6F0" w14:textId="77777777" w:rsidTr="00AE14B1">
        <w:trPr>
          <w:trHeight w:val="520"/>
        </w:trPr>
        <w:tc>
          <w:tcPr>
            <w:tcW w:w="3087" w:type="pct"/>
            <w:tcBorders>
              <w:top w:val="nil"/>
              <w:left w:val="nil"/>
              <w:bottom w:val="single" w:sz="4" w:space="0" w:color="000000"/>
              <w:right w:val="nil"/>
            </w:tcBorders>
            <w:shd w:val="clear" w:color="000000" w:fill="C0C0C0"/>
            <w:vAlign w:val="center"/>
            <w:hideMark/>
          </w:tcPr>
          <w:p w14:paraId="7525433C"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31913D53"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12,5%</w:t>
            </w:r>
          </w:p>
        </w:tc>
        <w:tc>
          <w:tcPr>
            <w:tcW w:w="304" w:type="pct"/>
            <w:tcBorders>
              <w:top w:val="nil"/>
              <w:left w:val="nil"/>
              <w:bottom w:val="single" w:sz="4" w:space="0" w:color="auto"/>
              <w:right w:val="single" w:sz="4" w:space="0" w:color="auto"/>
            </w:tcBorders>
            <w:shd w:val="clear" w:color="auto" w:fill="auto"/>
            <w:vAlign w:val="center"/>
            <w:hideMark/>
          </w:tcPr>
          <w:p w14:paraId="2BEA5B9E"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21,1%</w:t>
            </w:r>
            <w:r w:rsidRPr="00F5320F">
              <w:rPr>
                <w:rFonts w:asciiTheme="minorHAnsi" w:eastAsia="Times New Roman" w:hAnsiTheme="minorHAnsi"/>
                <w:color w:val="000000"/>
                <w:sz w:val="16"/>
                <w:szCs w:val="16"/>
                <w:lang w:eastAsia="es-ES"/>
              </w:rPr>
              <w:t> </w:t>
            </w:r>
          </w:p>
        </w:tc>
        <w:tc>
          <w:tcPr>
            <w:tcW w:w="377" w:type="pct"/>
            <w:tcBorders>
              <w:top w:val="nil"/>
              <w:left w:val="nil"/>
              <w:bottom w:val="single" w:sz="4" w:space="0" w:color="auto"/>
              <w:right w:val="single" w:sz="4" w:space="0" w:color="auto"/>
            </w:tcBorders>
            <w:shd w:val="clear" w:color="auto" w:fill="auto"/>
            <w:vAlign w:val="center"/>
            <w:hideMark/>
          </w:tcPr>
          <w:p w14:paraId="58C9744B"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8,33%</w:t>
            </w:r>
            <w:r w:rsidRPr="00F5320F">
              <w:rPr>
                <w:rFonts w:asciiTheme="minorHAnsi" w:eastAsia="Times New Roman" w:hAnsiTheme="minorHAnsi"/>
                <w:color w:val="000000"/>
                <w:sz w:val="16"/>
                <w:szCs w:val="16"/>
                <w:lang w:eastAsia="es-ES"/>
              </w:rPr>
              <w:t> </w:t>
            </w:r>
          </w:p>
        </w:tc>
        <w:tc>
          <w:tcPr>
            <w:tcW w:w="455" w:type="pct"/>
            <w:tcBorders>
              <w:top w:val="nil"/>
              <w:left w:val="nil"/>
              <w:bottom w:val="single" w:sz="4" w:space="0" w:color="auto"/>
              <w:right w:val="single" w:sz="4" w:space="0" w:color="auto"/>
            </w:tcBorders>
            <w:shd w:val="clear" w:color="auto" w:fill="auto"/>
            <w:vAlign w:val="center"/>
            <w:hideMark/>
          </w:tcPr>
          <w:p w14:paraId="437F4E6B"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8,33%</w:t>
            </w:r>
            <w:r w:rsidRPr="00F5320F">
              <w:rPr>
                <w:rFonts w:asciiTheme="minorHAnsi" w:eastAsia="Times New Roman" w:hAnsiTheme="minorHAnsi"/>
                <w:color w:val="000000"/>
                <w:sz w:val="16"/>
                <w:szCs w:val="16"/>
                <w:lang w:eastAsia="es-ES"/>
              </w:rPr>
              <w:t> </w:t>
            </w:r>
          </w:p>
        </w:tc>
        <w:tc>
          <w:tcPr>
            <w:tcW w:w="379" w:type="pct"/>
            <w:tcBorders>
              <w:top w:val="nil"/>
              <w:left w:val="nil"/>
              <w:bottom w:val="single" w:sz="4" w:space="0" w:color="auto"/>
              <w:right w:val="single" w:sz="4" w:space="0" w:color="auto"/>
            </w:tcBorders>
            <w:shd w:val="clear" w:color="auto" w:fill="auto"/>
            <w:vAlign w:val="center"/>
            <w:hideMark/>
          </w:tcPr>
          <w:p w14:paraId="05F02B4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p>
        </w:tc>
      </w:tr>
    </w:tbl>
    <w:p w14:paraId="7F8D3E3B" w14:textId="77777777" w:rsidR="007842FA" w:rsidRDefault="007842FA" w:rsidP="007C4E76">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5911"/>
        <w:gridCol w:w="655"/>
        <w:gridCol w:w="655"/>
        <w:gridCol w:w="655"/>
        <w:gridCol w:w="655"/>
        <w:gridCol w:w="619"/>
      </w:tblGrid>
      <w:tr w:rsidR="007842FA" w:rsidRPr="007842FA" w14:paraId="66294429" w14:textId="77777777" w:rsidTr="008A3C79">
        <w:trPr>
          <w:trHeight w:val="600"/>
        </w:trPr>
        <w:tc>
          <w:tcPr>
            <w:tcW w:w="3230" w:type="pct"/>
            <w:tcBorders>
              <w:top w:val="single" w:sz="4" w:space="0" w:color="000000"/>
              <w:left w:val="nil"/>
              <w:bottom w:val="single" w:sz="4" w:space="0" w:color="000000"/>
              <w:right w:val="single" w:sz="4" w:space="0" w:color="000000"/>
            </w:tcBorders>
            <w:shd w:val="clear" w:color="000000" w:fill="003366"/>
            <w:vAlign w:val="center"/>
            <w:hideMark/>
          </w:tcPr>
          <w:p w14:paraId="6899553E" w14:textId="77777777" w:rsidR="007842FA" w:rsidRPr="007842FA" w:rsidRDefault="007842FA" w:rsidP="00B65108">
            <w:pPr>
              <w:spacing w:after="0" w:line="240" w:lineRule="auto"/>
              <w:jc w:val="center"/>
              <w:rPr>
                <w:rFonts w:asciiTheme="minorHAnsi" w:eastAsia="Times New Roman" w:hAnsiTheme="minorHAnsi" w:cs="Arial"/>
                <w:color w:val="FFFFFF"/>
                <w:sz w:val="16"/>
                <w:szCs w:val="16"/>
                <w:lang w:eastAsia="es-ES"/>
              </w:rPr>
            </w:pPr>
            <w:r>
              <w:rPr>
                <w:rFonts w:asciiTheme="minorHAnsi" w:eastAsia="Times New Roman" w:hAnsiTheme="minorHAnsi" w:cs="Arial"/>
                <w:color w:val="FFFFFF"/>
                <w:sz w:val="16"/>
                <w:szCs w:val="16"/>
                <w:lang w:eastAsia="es-ES"/>
              </w:rPr>
              <w:lastRenderedPageBreak/>
              <w:t>INDICADOR (CENTRO</w:t>
            </w:r>
            <w:r w:rsidRPr="007842FA">
              <w:rPr>
                <w:rFonts w:asciiTheme="minorHAnsi" w:eastAsia="Times New Roman" w:hAnsiTheme="minorHAnsi" w:cs="Arial"/>
                <w:color w:val="FFFFFF"/>
                <w:sz w:val="16"/>
                <w:szCs w:val="16"/>
                <w:lang w:eastAsia="es-ES"/>
              </w:rPr>
              <w:t>)</w:t>
            </w:r>
          </w:p>
        </w:tc>
        <w:tc>
          <w:tcPr>
            <w:tcW w:w="358" w:type="pct"/>
            <w:tcBorders>
              <w:top w:val="single" w:sz="4" w:space="0" w:color="000000"/>
              <w:left w:val="nil"/>
              <w:bottom w:val="single" w:sz="4" w:space="0" w:color="000000"/>
              <w:right w:val="single" w:sz="4" w:space="0" w:color="000000"/>
            </w:tcBorders>
            <w:shd w:val="clear" w:color="000000" w:fill="003366"/>
            <w:vAlign w:val="center"/>
            <w:hideMark/>
          </w:tcPr>
          <w:p w14:paraId="5D681672" w14:textId="77777777" w:rsidR="007842FA" w:rsidRPr="007842FA" w:rsidRDefault="007842FA" w:rsidP="00B65108">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2016-17</w:t>
            </w:r>
          </w:p>
        </w:tc>
        <w:tc>
          <w:tcPr>
            <w:tcW w:w="358" w:type="pct"/>
            <w:tcBorders>
              <w:top w:val="single" w:sz="4" w:space="0" w:color="000000"/>
              <w:left w:val="nil"/>
              <w:bottom w:val="single" w:sz="4" w:space="0" w:color="000000"/>
              <w:right w:val="single" w:sz="4" w:space="0" w:color="000000"/>
            </w:tcBorders>
            <w:shd w:val="clear" w:color="000000" w:fill="003366"/>
            <w:vAlign w:val="center"/>
            <w:hideMark/>
          </w:tcPr>
          <w:p w14:paraId="7D31F4F8" w14:textId="77777777" w:rsidR="007842FA" w:rsidRPr="007842FA" w:rsidRDefault="007842FA" w:rsidP="00B65108">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2017-18</w:t>
            </w:r>
          </w:p>
        </w:tc>
        <w:tc>
          <w:tcPr>
            <w:tcW w:w="358" w:type="pct"/>
            <w:tcBorders>
              <w:top w:val="single" w:sz="4" w:space="0" w:color="000000"/>
              <w:left w:val="nil"/>
              <w:bottom w:val="single" w:sz="4" w:space="0" w:color="000000"/>
              <w:right w:val="single" w:sz="4" w:space="0" w:color="000000"/>
            </w:tcBorders>
            <w:shd w:val="clear" w:color="000000" w:fill="003366"/>
            <w:vAlign w:val="center"/>
            <w:hideMark/>
          </w:tcPr>
          <w:p w14:paraId="008FBAF8" w14:textId="77777777" w:rsidR="007842FA" w:rsidRPr="007842FA" w:rsidRDefault="007842FA" w:rsidP="00B65108">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2018-19</w:t>
            </w:r>
          </w:p>
        </w:tc>
        <w:tc>
          <w:tcPr>
            <w:tcW w:w="358" w:type="pct"/>
            <w:tcBorders>
              <w:top w:val="single" w:sz="4" w:space="0" w:color="000000"/>
              <w:left w:val="nil"/>
              <w:bottom w:val="single" w:sz="4" w:space="0" w:color="000000"/>
              <w:right w:val="single" w:sz="4" w:space="0" w:color="000000"/>
            </w:tcBorders>
            <w:shd w:val="clear" w:color="000000" w:fill="003366"/>
            <w:vAlign w:val="center"/>
            <w:hideMark/>
          </w:tcPr>
          <w:p w14:paraId="25046CB9" w14:textId="77777777" w:rsidR="007842FA" w:rsidRPr="007842FA" w:rsidRDefault="007842FA" w:rsidP="00B65108">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2019-20</w:t>
            </w:r>
          </w:p>
        </w:tc>
        <w:tc>
          <w:tcPr>
            <w:tcW w:w="338" w:type="pct"/>
            <w:tcBorders>
              <w:top w:val="single" w:sz="4" w:space="0" w:color="000000"/>
              <w:left w:val="nil"/>
              <w:bottom w:val="single" w:sz="4" w:space="0" w:color="000000"/>
              <w:right w:val="single" w:sz="4" w:space="0" w:color="000000"/>
            </w:tcBorders>
            <w:shd w:val="clear" w:color="000000" w:fill="003366"/>
            <w:vAlign w:val="center"/>
            <w:hideMark/>
          </w:tcPr>
          <w:p w14:paraId="35CBCAA1" w14:textId="77777777" w:rsidR="007842FA" w:rsidRPr="007842FA" w:rsidRDefault="007842FA" w:rsidP="00B65108">
            <w:pPr>
              <w:spacing w:after="0" w:line="240" w:lineRule="auto"/>
              <w:jc w:val="center"/>
              <w:rPr>
                <w:rFonts w:asciiTheme="minorHAnsi" w:eastAsia="Times New Roman" w:hAnsiTheme="minorHAnsi" w:cs="Arial"/>
                <w:color w:val="FFFFFF"/>
                <w:sz w:val="16"/>
                <w:szCs w:val="16"/>
                <w:lang w:eastAsia="es-ES"/>
              </w:rPr>
            </w:pPr>
            <w:r w:rsidRPr="007842FA">
              <w:rPr>
                <w:rFonts w:asciiTheme="minorHAnsi" w:eastAsia="Times New Roman" w:hAnsiTheme="minorHAnsi" w:cs="Arial"/>
                <w:color w:val="FFFFFF"/>
                <w:sz w:val="16"/>
                <w:szCs w:val="16"/>
                <w:lang w:eastAsia="es-ES"/>
              </w:rPr>
              <w:t>2020-21</w:t>
            </w:r>
          </w:p>
        </w:tc>
      </w:tr>
      <w:tr w:rsidR="008A3C79" w:rsidRPr="007842FA" w14:paraId="79641E8F" w14:textId="77777777" w:rsidTr="008A3C79">
        <w:trPr>
          <w:trHeight w:val="260"/>
        </w:trPr>
        <w:tc>
          <w:tcPr>
            <w:tcW w:w="3230" w:type="pct"/>
            <w:tcBorders>
              <w:top w:val="nil"/>
              <w:left w:val="nil"/>
              <w:bottom w:val="single" w:sz="4" w:space="0" w:color="000000"/>
              <w:right w:val="nil"/>
            </w:tcBorders>
            <w:shd w:val="clear" w:color="000000" w:fill="C0C0C0"/>
            <w:vAlign w:val="center"/>
            <w:hideMark/>
          </w:tcPr>
          <w:p w14:paraId="5828CDEE"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ISGC-P05-02: Participación del profesorado en acciones formativas.</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11906"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51,11%</w:t>
            </w:r>
            <w:r w:rsidRPr="00F5320F">
              <w:rPr>
                <w:rFonts w:asciiTheme="minorHAnsi" w:eastAsia="Times New Roman" w:hAnsiTheme="minorHAnsi"/>
                <w:color w:val="000000"/>
                <w:sz w:val="16"/>
                <w:szCs w:val="16"/>
                <w:lang w:eastAsia="es-ES"/>
              </w:rPr>
              <w:t>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DD9D4C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50,59%</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8C552E1"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57,38%</w:t>
            </w:r>
            <w:r w:rsidRPr="00F5320F">
              <w:rPr>
                <w:rFonts w:asciiTheme="minorHAnsi" w:eastAsia="Times New Roman" w:hAnsiTheme="minorHAnsi"/>
                <w:color w:val="000000"/>
                <w:sz w:val="16"/>
                <w:szCs w:val="16"/>
                <w:lang w:eastAsia="es-ES"/>
              </w:rPr>
              <w:t>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5094134"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56,29%</w:t>
            </w:r>
            <w:r w:rsidRPr="00F5320F">
              <w:rPr>
                <w:rFonts w:asciiTheme="minorHAnsi" w:eastAsia="Times New Roman" w:hAnsiTheme="minorHAnsi"/>
                <w:color w:val="000000"/>
                <w:sz w:val="16"/>
                <w:szCs w:val="16"/>
                <w:lang w:eastAsia="es-ES"/>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F173BF6"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58,71%</w:t>
            </w:r>
          </w:p>
        </w:tc>
      </w:tr>
      <w:tr w:rsidR="008A3C79" w:rsidRPr="007842FA" w14:paraId="6632C498" w14:textId="77777777" w:rsidTr="008A3C79">
        <w:trPr>
          <w:trHeight w:val="260"/>
        </w:trPr>
        <w:tc>
          <w:tcPr>
            <w:tcW w:w="3230" w:type="pct"/>
            <w:tcBorders>
              <w:top w:val="nil"/>
              <w:left w:val="nil"/>
              <w:bottom w:val="single" w:sz="4" w:space="0" w:color="000000"/>
              <w:right w:val="nil"/>
            </w:tcBorders>
            <w:shd w:val="clear" w:color="000000" w:fill="C0C0C0"/>
            <w:vAlign w:val="center"/>
            <w:hideMark/>
          </w:tcPr>
          <w:p w14:paraId="10F55E1F"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30287CA4"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31,85%</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1C426DF5"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59,41%</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3B810355"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47,54%</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5F69979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53,64%</w:t>
            </w:r>
          </w:p>
        </w:tc>
        <w:tc>
          <w:tcPr>
            <w:tcW w:w="338" w:type="pct"/>
            <w:tcBorders>
              <w:top w:val="nil"/>
              <w:left w:val="nil"/>
              <w:bottom w:val="single" w:sz="4" w:space="0" w:color="auto"/>
              <w:right w:val="single" w:sz="4" w:space="0" w:color="auto"/>
            </w:tcBorders>
            <w:shd w:val="clear" w:color="auto" w:fill="auto"/>
            <w:vAlign w:val="center"/>
            <w:hideMark/>
          </w:tcPr>
          <w:p w14:paraId="70EA43A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56,77%</w:t>
            </w:r>
          </w:p>
        </w:tc>
      </w:tr>
      <w:tr w:rsidR="008A3C79" w:rsidRPr="007842FA" w14:paraId="60A92774" w14:textId="77777777" w:rsidTr="008A3C79">
        <w:trPr>
          <w:trHeight w:val="260"/>
        </w:trPr>
        <w:tc>
          <w:tcPr>
            <w:tcW w:w="3230" w:type="pct"/>
            <w:tcBorders>
              <w:top w:val="nil"/>
              <w:left w:val="nil"/>
              <w:bottom w:val="single" w:sz="4" w:space="0" w:color="000000"/>
              <w:right w:val="nil"/>
            </w:tcBorders>
            <w:shd w:val="clear" w:color="000000" w:fill="C0C0C0"/>
            <w:vAlign w:val="center"/>
            <w:hideMark/>
          </w:tcPr>
          <w:p w14:paraId="44ACF487"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3A2DBBCE"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 4,2</w:t>
            </w:r>
          </w:p>
        </w:tc>
        <w:tc>
          <w:tcPr>
            <w:tcW w:w="358" w:type="pct"/>
            <w:tcBorders>
              <w:top w:val="nil"/>
              <w:left w:val="nil"/>
              <w:bottom w:val="single" w:sz="4" w:space="0" w:color="auto"/>
              <w:right w:val="single" w:sz="4" w:space="0" w:color="auto"/>
            </w:tcBorders>
            <w:shd w:val="clear" w:color="auto" w:fill="auto"/>
            <w:vAlign w:val="center"/>
            <w:hideMark/>
          </w:tcPr>
          <w:p w14:paraId="078AA2BC"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4,4</w:t>
            </w:r>
          </w:p>
        </w:tc>
        <w:tc>
          <w:tcPr>
            <w:tcW w:w="358" w:type="pct"/>
            <w:tcBorders>
              <w:top w:val="nil"/>
              <w:left w:val="nil"/>
              <w:bottom w:val="single" w:sz="4" w:space="0" w:color="auto"/>
              <w:right w:val="single" w:sz="4" w:space="0" w:color="auto"/>
            </w:tcBorders>
            <w:shd w:val="clear" w:color="auto" w:fill="auto"/>
            <w:vAlign w:val="center"/>
            <w:hideMark/>
          </w:tcPr>
          <w:p w14:paraId="6C91B20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4,3 </w:t>
            </w:r>
          </w:p>
        </w:tc>
        <w:tc>
          <w:tcPr>
            <w:tcW w:w="358" w:type="pct"/>
            <w:tcBorders>
              <w:top w:val="nil"/>
              <w:left w:val="nil"/>
              <w:bottom w:val="single" w:sz="4" w:space="0" w:color="auto"/>
              <w:right w:val="single" w:sz="4" w:space="0" w:color="auto"/>
            </w:tcBorders>
            <w:shd w:val="clear" w:color="auto" w:fill="auto"/>
            <w:vAlign w:val="center"/>
            <w:hideMark/>
          </w:tcPr>
          <w:p w14:paraId="2C689FEC"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C4675D">
              <w:rPr>
                <w:rFonts w:asciiTheme="minorHAnsi" w:eastAsia="Times New Roman" w:hAnsiTheme="minorHAnsi"/>
                <w:sz w:val="16"/>
                <w:szCs w:val="16"/>
                <w:lang w:eastAsia="es-ES"/>
              </w:rPr>
              <w:t>4,4 </w:t>
            </w:r>
          </w:p>
        </w:tc>
        <w:tc>
          <w:tcPr>
            <w:tcW w:w="338" w:type="pct"/>
            <w:tcBorders>
              <w:top w:val="nil"/>
              <w:left w:val="nil"/>
              <w:bottom w:val="single" w:sz="4" w:space="0" w:color="auto"/>
              <w:right w:val="single" w:sz="4" w:space="0" w:color="auto"/>
            </w:tcBorders>
            <w:shd w:val="clear" w:color="auto" w:fill="auto"/>
            <w:vAlign w:val="center"/>
            <w:hideMark/>
          </w:tcPr>
          <w:p w14:paraId="44CBFCAC"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4,3</w:t>
            </w:r>
          </w:p>
        </w:tc>
      </w:tr>
      <w:tr w:rsidR="008A3C79" w:rsidRPr="007842FA" w14:paraId="3E9058FF" w14:textId="77777777" w:rsidTr="008A3C79">
        <w:trPr>
          <w:trHeight w:val="520"/>
        </w:trPr>
        <w:tc>
          <w:tcPr>
            <w:tcW w:w="3230" w:type="pct"/>
            <w:tcBorders>
              <w:top w:val="nil"/>
              <w:left w:val="nil"/>
              <w:bottom w:val="single" w:sz="4" w:space="0" w:color="000000"/>
              <w:right w:val="nil"/>
            </w:tcBorders>
            <w:shd w:val="clear" w:color="000000" w:fill="C0C0C0"/>
            <w:vAlign w:val="center"/>
            <w:hideMark/>
          </w:tcPr>
          <w:p w14:paraId="545B663B"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516DBE26"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34,81%</w:t>
            </w:r>
          </w:p>
        </w:tc>
        <w:tc>
          <w:tcPr>
            <w:tcW w:w="358" w:type="pct"/>
            <w:tcBorders>
              <w:top w:val="nil"/>
              <w:left w:val="nil"/>
              <w:bottom w:val="single" w:sz="4" w:space="0" w:color="auto"/>
              <w:right w:val="single" w:sz="4" w:space="0" w:color="auto"/>
            </w:tcBorders>
            <w:shd w:val="clear" w:color="auto" w:fill="auto"/>
            <w:vAlign w:val="center"/>
            <w:hideMark/>
          </w:tcPr>
          <w:p w14:paraId="7A24940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35,9%</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68503479"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24,39%</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67F9F513"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26,49%</w:t>
            </w:r>
            <w:r w:rsidRPr="00F5320F">
              <w:rPr>
                <w:rFonts w:asciiTheme="minorHAnsi" w:eastAsia="Times New Roman" w:hAnsiTheme="minorHAnsi"/>
                <w:color w:val="000000"/>
                <w:sz w:val="16"/>
                <w:szCs w:val="16"/>
                <w:lang w:eastAsia="es-ES"/>
              </w:rPr>
              <w:t> </w:t>
            </w:r>
          </w:p>
        </w:tc>
        <w:tc>
          <w:tcPr>
            <w:tcW w:w="338" w:type="pct"/>
            <w:tcBorders>
              <w:top w:val="nil"/>
              <w:left w:val="nil"/>
              <w:bottom w:val="single" w:sz="4" w:space="0" w:color="auto"/>
              <w:right w:val="single" w:sz="4" w:space="0" w:color="auto"/>
            </w:tcBorders>
            <w:shd w:val="clear" w:color="auto" w:fill="auto"/>
            <w:vAlign w:val="center"/>
            <w:hideMark/>
          </w:tcPr>
          <w:p w14:paraId="7B3BC20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29,03%</w:t>
            </w:r>
          </w:p>
        </w:tc>
      </w:tr>
      <w:tr w:rsidR="008A3C79" w:rsidRPr="007842FA" w14:paraId="75B15274" w14:textId="77777777" w:rsidTr="008A3C79">
        <w:trPr>
          <w:trHeight w:val="520"/>
        </w:trPr>
        <w:tc>
          <w:tcPr>
            <w:tcW w:w="3230" w:type="pct"/>
            <w:tcBorders>
              <w:top w:val="nil"/>
              <w:left w:val="nil"/>
              <w:bottom w:val="single" w:sz="4" w:space="0" w:color="000000"/>
              <w:right w:val="nil"/>
            </w:tcBorders>
            <w:shd w:val="clear" w:color="000000" w:fill="C0C0C0"/>
            <w:vAlign w:val="center"/>
            <w:hideMark/>
          </w:tcPr>
          <w:p w14:paraId="42B2F43F"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6650E4E8"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72,34%</w:t>
            </w:r>
          </w:p>
        </w:tc>
        <w:tc>
          <w:tcPr>
            <w:tcW w:w="358" w:type="pct"/>
            <w:tcBorders>
              <w:top w:val="nil"/>
              <w:left w:val="nil"/>
              <w:bottom w:val="single" w:sz="4" w:space="0" w:color="auto"/>
              <w:right w:val="single" w:sz="4" w:space="0" w:color="auto"/>
            </w:tcBorders>
            <w:shd w:val="clear" w:color="auto" w:fill="auto"/>
            <w:vAlign w:val="center"/>
            <w:hideMark/>
          </w:tcPr>
          <w:p w14:paraId="486A982F"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73,8%</w:t>
            </w:r>
          </w:p>
        </w:tc>
        <w:tc>
          <w:tcPr>
            <w:tcW w:w="358" w:type="pct"/>
            <w:tcBorders>
              <w:top w:val="nil"/>
              <w:left w:val="nil"/>
              <w:bottom w:val="single" w:sz="4" w:space="0" w:color="auto"/>
              <w:right w:val="single" w:sz="4" w:space="0" w:color="auto"/>
            </w:tcBorders>
            <w:shd w:val="clear" w:color="auto" w:fill="auto"/>
            <w:vAlign w:val="center"/>
            <w:hideMark/>
          </w:tcPr>
          <w:p w14:paraId="3C5D1F3D"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93,33%</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5B842AAB"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90%</w:t>
            </w:r>
            <w:r w:rsidRPr="00F5320F">
              <w:rPr>
                <w:rFonts w:asciiTheme="minorHAnsi" w:eastAsia="Times New Roman" w:hAnsiTheme="minorHAnsi"/>
                <w:color w:val="000000"/>
                <w:sz w:val="16"/>
                <w:szCs w:val="16"/>
                <w:lang w:eastAsia="es-ES"/>
              </w:rPr>
              <w:t> </w:t>
            </w:r>
          </w:p>
        </w:tc>
        <w:tc>
          <w:tcPr>
            <w:tcW w:w="338" w:type="pct"/>
            <w:tcBorders>
              <w:top w:val="nil"/>
              <w:left w:val="nil"/>
              <w:bottom w:val="single" w:sz="4" w:space="0" w:color="auto"/>
              <w:right w:val="single" w:sz="4" w:space="0" w:color="auto"/>
            </w:tcBorders>
            <w:shd w:val="clear" w:color="auto" w:fill="auto"/>
            <w:vAlign w:val="center"/>
            <w:hideMark/>
          </w:tcPr>
          <w:p w14:paraId="7865D535"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88,89%</w:t>
            </w:r>
          </w:p>
        </w:tc>
      </w:tr>
      <w:tr w:rsidR="008A3C79" w:rsidRPr="007842FA" w14:paraId="7B81BAEE" w14:textId="77777777" w:rsidTr="008A3C79">
        <w:trPr>
          <w:trHeight w:val="520"/>
        </w:trPr>
        <w:tc>
          <w:tcPr>
            <w:tcW w:w="3230" w:type="pct"/>
            <w:tcBorders>
              <w:top w:val="nil"/>
              <w:left w:val="nil"/>
              <w:bottom w:val="single" w:sz="4" w:space="0" w:color="000000"/>
              <w:right w:val="nil"/>
            </w:tcBorders>
            <w:shd w:val="clear" w:color="000000" w:fill="C0C0C0"/>
            <w:vAlign w:val="center"/>
            <w:hideMark/>
          </w:tcPr>
          <w:p w14:paraId="2EB52441" w14:textId="77777777" w:rsidR="008A3C79" w:rsidRPr="007842FA" w:rsidRDefault="008A3C79" w:rsidP="008A3C79">
            <w:pPr>
              <w:spacing w:after="0" w:line="240" w:lineRule="auto"/>
              <w:rPr>
                <w:rFonts w:asciiTheme="minorHAnsi" w:eastAsia="Times New Roman" w:hAnsiTheme="minorHAnsi" w:cs="Arial"/>
                <w:b/>
                <w:bCs/>
                <w:color w:val="000000"/>
                <w:sz w:val="16"/>
                <w:szCs w:val="16"/>
                <w:lang w:eastAsia="es-ES"/>
              </w:rPr>
            </w:pPr>
            <w:r w:rsidRPr="007842FA">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763C8BAE"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27,66%</w:t>
            </w:r>
          </w:p>
        </w:tc>
        <w:tc>
          <w:tcPr>
            <w:tcW w:w="358" w:type="pct"/>
            <w:tcBorders>
              <w:top w:val="nil"/>
              <w:left w:val="nil"/>
              <w:bottom w:val="single" w:sz="4" w:space="0" w:color="auto"/>
              <w:right w:val="single" w:sz="4" w:space="0" w:color="auto"/>
            </w:tcBorders>
            <w:shd w:val="clear" w:color="auto" w:fill="auto"/>
            <w:vAlign w:val="center"/>
            <w:hideMark/>
          </w:tcPr>
          <w:p w14:paraId="0BC789A6"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26,2%</w:t>
            </w:r>
          </w:p>
        </w:tc>
        <w:tc>
          <w:tcPr>
            <w:tcW w:w="358" w:type="pct"/>
            <w:tcBorders>
              <w:top w:val="nil"/>
              <w:left w:val="nil"/>
              <w:bottom w:val="single" w:sz="4" w:space="0" w:color="auto"/>
              <w:right w:val="single" w:sz="4" w:space="0" w:color="auto"/>
            </w:tcBorders>
            <w:shd w:val="clear" w:color="auto" w:fill="auto"/>
            <w:vAlign w:val="center"/>
            <w:hideMark/>
          </w:tcPr>
          <w:p w14:paraId="00F86D77"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6,67%</w:t>
            </w:r>
            <w:r w:rsidRPr="00F5320F">
              <w:rPr>
                <w:rFonts w:asciiTheme="minorHAnsi" w:eastAsia="Times New Roman" w:hAnsiTheme="minorHAnsi"/>
                <w:color w:val="000000"/>
                <w:sz w:val="16"/>
                <w:szCs w:val="16"/>
                <w:lang w:eastAsia="es-ES"/>
              </w:rPr>
              <w:t> </w:t>
            </w:r>
          </w:p>
        </w:tc>
        <w:tc>
          <w:tcPr>
            <w:tcW w:w="358" w:type="pct"/>
            <w:tcBorders>
              <w:top w:val="nil"/>
              <w:left w:val="nil"/>
              <w:bottom w:val="single" w:sz="4" w:space="0" w:color="auto"/>
              <w:right w:val="single" w:sz="4" w:space="0" w:color="auto"/>
            </w:tcBorders>
            <w:shd w:val="clear" w:color="auto" w:fill="auto"/>
            <w:vAlign w:val="center"/>
            <w:hideMark/>
          </w:tcPr>
          <w:p w14:paraId="558C1EA2"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sidRPr="00F5320F">
              <w:rPr>
                <w:rFonts w:asciiTheme="minorHAnsi" w:eastAsia="Times New Roman" w:hAnsiTheme="minorHAnsi"/>
                <w:color w:val="000000"/>
                <w:sz w:val="16"/>
                <w:szCs w:val="16"/>
                <w:lang w:eastAsia="es-ES"/>
              </w:rPr>
              <w:t> </w:t>
            </w:r>
            <w:r>
              <w:rPr>
                <w:rFonts w:asciiTheme="minorHAnsi" w:eastAsia="Times New Roman" w:hAnsiTheme="minorHAnsi"/>
                <w:color w:val="000000"/>
                <w:sz w:val="16"/>
                <w:szCs w:val="16"/>
                <w:lang w:eastAsia="es-ES"/>
              </w:rPr>
              <w:t>10%</w:t>
            </w:r>
          </w:p>
        </w:tc>
        <w:tc>
          <w:tcPr>
            <w:tcW w:w="338" w:type="pct"/>
            <w:tcBorders>
              <w:top w:val="nil"/>
              <w:left w:val="nil"/>
              <w:bottom w:val="single" w:sz="4" w:space="0" w:color="auto"/>
              <w:right w:val="single" w:sz="4" w:space="0" w:color="auto"/>
            </w:tcBorders>
            <w:shd w:val="clear" w:color="auto" w:fill="auto"/>
            <w:vAlign w:val="center"/>
            <w:hideMark/>
          </w:tcPr>
          <w:p w14:paraId="7B8013BA" w14:textId="77777777" w:rsidR="008A3C79" w:rsidRPr="007842FA" w:rsidRDefault="008A3C79" w:rsidP="008A3C79">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11,11%</w:t>
            </w:r>
          </w:p>
        </w:tc>
      </w:tr>
    </w:tbl>
    <w:p w14:paraId="3AED401C" w14:textId="77777777" w:rsidR="007842FA" w:rsidRDefault="007842FA" w:rsidP="007C4E76">
      <w:pPr>
        <w:spacing w:after="120" w:line="240" w:lineRule="auto"/>
        <w:jc w:val="both"/>
        <w:rPr>
          <w:rFonts w:asciiTheme="minorHAnsi" w:hAnsiTheme="minorHAnsi"/>
          <w:bCs/>
          <w:color w:val="FF0000"/>
          <w:sz w:val="16"/>
          <w:szCs w:val="16"/>
        </w:rPr>
      </w:pPr>
    </w:p>
    <w:p w14:paraId="3AC1518E" w14:textId="1C2DDC34" w:rsidR="00144753" w:rsidRPr="00AE14B1" w:rsidRDefault="00144753" w:rsidP="00144753">
      <w:pPr>
        <w:spacing w:after="120" w:line="240" w:lineRule="auto"/>
        <w:jc w:val="both"/>
        <w:rPr>
          <w:rFonts w:asciiTheme="minorHAnsi" w:hAnsiTheme="minorHAnsi"/>
          <w:bCs/>
          <w:color w:val="000000" w:themeColor="text1"/>
          <w:sz w:val="20"/>
          <w:szCs w:val="20"/>
        </w:rPr>
      </w:pPr>
      <w:r w:rsidRPr="00AE14B1">
        <w:rPr>
          <w:rFonts w:asciiTheme="minorHAnsi" w:hAnsiTheme="minorHAnsi"/>
          <w:bCs/>
          <w:color w:val="000000" w:themeColor="text1"/>
          <w:sz w:val="20"/>
          <w:szCs w:val="20"/>
        </w:rPr>
        <w:t>En el caso de la Universidad de Cádiz, el profesorado participante en la impartición</w:t>
      </w:r>
      <w:r w:rsidR="00237998" w:rsidRPr="00AE14B1">
        <w:rPr>
          <w:rFonts w:asciiTheme="minorHAnsi" w:hAnsiTheme="minorHAnsi"/>
          <w:bCs/>
          <w:color w:val="000000" w:themeColor="text1"/>
          <w:sz w:val="20"/>
          <w:szCs w:val="20"/>
        </w:rPr>
        <w:t xml:space="preserve"> del Máster en Agroalimentación, en el curso 202-21, </w:t>
      </w:r>
      <w:r w:rsidRPr="00AE14B1">
        <w:rPr>
          <w:rFonts w:asciiTheme="minorHAnsi" w:hAnsiTheme="minorHAnsi"/>
          <w:bCs/>
          <w:color w:val="000000" w:themeColor="text1"/>
          <w:sz w:val="20"/>
          <w:szCs w:val="20"/>
        </w:rPr>
        <w:t>pertenece en su mayoría a los cuerpos docentes de Catedrático</w:t>
      </w:r>
      <w:r w:rsidR="007025BF">
        <w:rPr>
          <w:rFonts w:asciiTheme="minorHAnsi" w:hAnsiTheme="minorHAnsi"/>
          <w:bCs/>
          <w:color w:val="000000" w:themeColor="text1"/>
          <w:sz w:val="20"/>
          <w:szCs w:val="20"/>
        </w:rPr>
        <w:t>s</w:t>
      </w:r>
      <w:r w:rsidRPr="00AE14B1">
        <w:rPr>
          <w:rFonts w:asciiTheme="minorHAnsi" w:hAnsiTheme="minorHAnsi"/>
          <w:bCs/>
          <w:color w:val="000000" w:themeColor="text1"/>
          <w:sz w:val="20"/>
          <w:szCs w:val="20"/>
        </w:rPr>
        <w:t xml:space="preserve"> de Universidad (21,95%) y Profesor Titular de Universidad (</w:t>
      </w:r>
      <w:r w:rsidR="00237998" w:rsidRPr="00AE14B1">
        <w:rPr>
          <w:rFonts w:asciiTheme="minorHAnsi" w:hAnsiTheme="minorHAnsi"/>
          <w:bCs/>
          <w:color w:val="000000" w:themeColor="text1"/>
          <w:sz w:val="20"/>
          <w:szCs w:val="20"/>
        </w:rPr>
        <w:t>39,2</w:t>
      </w:r>
      <w:r w:rsidRPr="00AE14B1">
        <w:rPr>
          <w:rFonts w:asciiTheme="minorHAnsi" w:hAnsiTheme="minorHAnsi"/>
          <w:bCs/>
          <w:color w:val="000000" w:themeColor="text1"/>
          <w:sz w:val="20"/>
          <w:szCs w:val="20"/>
        </w:rPr>
        <w:t xml:space="preserve">% en el curso 2019/20). El </w:t>
      </w:r>
      <w:r w:rsidR="00237998" w:rsidRPr="00AE14B1">
        <w:rPr>
          <w:rFonts w:asciiTheme="minorHAnsi" w:hAnsiTheme="minorHAnsi"/>
          <w:bCs/>
          <w:color w:val="000000" w:themeColor="text1"/>
          <w:sz w:val="20"/>
          <w:szCs w:val="20"/>
        </w:rPr>
        <w:t>100</w:t>
      </w:r>
      <w:r w:rsidR="007407C7">
        <w:rPr>
          <w:rFonts w:asciiTheme="minorHAnsi" w:hAnsiTheme="minorHAnsi"/>
          <w:bCs/>
          <w:color w:val="000000" w:themeColor="text1"/>
          <w:sz w:val="20"/>
          <w:szCs w:val="20"/>
        </w:rPr>
        <w:t xml:space="preserve">% de los docentes UCA </w:t>
      </w:r>
      <w:r w:rsidRPr="00AE14B1">
        <w:rPr>
          <w:rFonts w:asciiTheme="minorHAnsi" w:hAnsiTheme="minorHAnsi"/>
          <w:bCs/>
          <w:color w:val="000000" w:themeColor="text1"/>
          <w:sz w:val="20"/>
          <w:szCs w:val="20"/>
        </w:rPr>
        <w:t xml:space="preserve">eran doctores. </w:t>
      </w:r>
    </w:p>
    <w:p w14:paraId="25629732" w14:textId="1340D0FF" w:rsidR="00144753" w:rsidRPr="00AE14B1" w:rsidRDefault="00144753" w:rsidP="00144753">
      <w:pPr>
        <w:spacing w:after="120" w:line="240" w:lineRule="auto"/>
        <w:jc w:val="both"/>
        <w:rPr>
          <w:rFonts w:asciiTheme="minorHAnsi" w:hAnsiTheme="minorHAnsi"/>
          <w:bCs/>
          <w:color w:val="000000" w:themeColor="text1"/>
          <w:sz w:val="20"/>
          <w:szCs w:val="20"/>
        </w:rPr>
      </w:pPr>
      <w:r w:rsidRPr="00AE14B1">
        <w:rPr>
          <w:rFonts w:asciiTheme="minorHAnsi" w:hAnsiTheme="minorHAnsi"/>
          <w:bCs/>
          <w:color w:val="000000" w:themeColor="text1"/>
          <w:sz w:val="20"/>
          <w:szCs w:val="20"/>
        </w:rPr>
        <w:t>En cuanto a la capacidad docente de los mismos, cabe señalarse que el profesorado UCA goza de alta experiencia docente, tal y como pone de relieve el alto número de qu</w:t>
      </w:r>
      <w:r w:rsidR="00237998" w:rsidRPr="00AE14B1">
        <w:rPr>
          <w:rFonts w:asciiTheme="minorHAnsi" w:hAnsiTheme="minorHAnsi"/>
          <w:bCs/>
          <w:color w:val="000000" w:themeColor="text1"/>
          <w:sz w:val="20"/>
          <w:szCs w:val="20"/>
        </w:rPr>
        <w:t>inquenios de los que dispone (12</w:t>
      </w:r>
      <w:r w:rsidRPr="00AE14B1">
        <w:rPr>
          <w:rFonts w:asciiTheme="minorHAnsi" w:hAnsiTheme="minorHAnsi"/>
          <w:bCs/>
          <w:color w:val="000000" w:themeColor="text1"/>
          <w:sz w:val="20"/>
          <w:szCs w:val="20"/>
        </w:rPr>
        <w:t xml:space="preserve">4); correspondiendo, para el curso </w:t>
      </w:r>
      <w:r w:rsidR="00237998" w:rsidRPr="00AE14B1">
        <w:rPr>
          <w:rFonts w:asciiTheme="minorHAnsi" w:hAnsiTheme="minorHAnsi"/>
          <w:bCs/>
          <w:color w:val="000000" w:themeColor="text1"/>
          <w:sz w:val="20"/>
          <w:szCs w:val="20"/>
        </w:rPr>
        <w:t>2020-21</w:t>
      </w:r>
      <w:r w:rsidRPr="00AE14B1">
        <w:rPr>
          <w:rFonts w:asciiTheme="minorHAnsi" w:hAnsiTheme="minorHAnsi"/>
          <w:bCs/>
          <w:color w:val="000000" w:themeColor="text1"/>
          <w:sz w:val="20"/>
          <w:szCs w:val="20"/>
        </w:rPr>
        <w:t xml:space="preserve">, 50 al cuerpo de Catedráticos; 12 al de Catedráticos de Escuela Universitaria, </w:t>
      </w:r>
      <w:r w:rsidR="00237998" w:rsidRPr="00AE14B1">
        <w:rPr>
          <w:rFonts w:asciiTheme="minorHAnsi" w:hAnsiTheme="minorHAnsi"/>
          <w:bCs/>
          <w:color w:val="000000" w:themeColor="text1"/>
          <w:sz w:val="20"/>
          <w:szCs w:val="20"/>
        </w:rPr>
        <w:t>59</w:t>
      </w:r>
      <w:r w:rsidRPr="00AE14B1">
        <w:rPr>
          <w:rFonts w:asciiTheme="minorHAnsi" w:hAnsiTheme="minorHAnsi"/>
          <w:bCs/>
          <w:color w:val="000000" w:themeColor="text1"/>
          <w:sz w:val="20"/>
          <w:szCs w:val="20"/>
        </w:rPr>
        <w:t xml:space="preserve"> al de Profesores Titulares de Universidad y 3 de Profesores Contratado Doctor. Para el resto de figuras</w:t>
      </w:r>
      <w:r w:rsidR="008A1A8C">
        <w:rPr>
          <w:rFonts w:asciiTheme="minorHAnsi" w:hAnsiTheme="minorHAnsi"/>
          <w:bCs/>
          <w:color w:val="000000" w:themeColor="text1"/>
          <w:sz w:val="20"/>
          <w:szCs w:val="20"/>
        </w:rPr>
        <w:t xml:space="preserve"> docentes</w:t>
      </w:r>
      <w:r w:rsidRPr="00AE14B1">
        <w:rPr>
          <w:rFonts w:asciiTheme="minorHAnsi" w:hAnsiTheme="minorHAnsi"/>
          <w:bCs/>
          <w:color w:val="000000" w:themeColor="text1"/>
          <w:sz w:val="20"/>
          <w:szCs w:val="20"/>
        </w:rPr>
        <w:t xml:space="preserve">, no puede mostrarse esta evidencia dado que no tienen la posibilidad de solicitar quinquenios docentes. En resumen, los 27 profesores UCA participantes en el Máster en el curso </w:t>
      </w:r>
      <w:r w:rsidR="00237998" w:rsidRPr="00AE14B1">
        <w:rPr>
          <w:rFonts w:asciiTheme="minorHAnsi" w:hAnsiTheme="minorHAnsi"/>
          <w:bCs/>
          <w:color w:val="000000" w:themeColor="text1"/>
          <w:sz w:val="20"/>
          <w:szCs w:val="20"/>
        </w:rPr>
        <w:t>2020-21</w:t>
      </w:r>
      <w:r w:rsidRPr="00AE14B1">
        <w:rPr>
          <w:rFonts w:asciiTheme="minorHAnsi" w:hAnsiTheme="minorHAnsi"/>
          <w:bCs/>
          <w:color w:val="000000" w:themeColor="text1"/>
          <w:sz w:val="20"/>
          <w:szCs w:val="20"/>
        </w:rPr>
        <w:t xml:space="preserve"> que pertenecen a los cuerpos de docentes funcionarios, acreditan un total de 1</w:t>
      </w:r>
      <w:r w:rsidR="00237998" w:rsidRPr="00AE14B1">
        <w:rPr>
          <w:rFonts w:asciiTheme="minorHAnsi" w:hAnsiTheme="minorHAnsi"/>
          <w:bCs/>
          <w:color w:val="000000" w:themeColor="text1"/>
          <w:sz w:val="20"/>
          <w:szCs w:val="20"/>
        </w:rPr>
        <w:t>2</w:t>
      </w:r>
      <w:r w:rsidRPr="00AE14B1">
        <w:rPr>
          <w:rFonts w:asciiTheme="minorHAnsi" w:hAnsiTheme="minorHAnsi"/>
          <w:bCs/>
          <w:color w:val="000000" w:themeColor="text1"/>
          <w:sz w:val="20"/>
          <w:szCs w:val="20"/>
        </w:rPr>
        <w:t>1 quinquenios, lo que supone una media de más de 4,</w:t>
      </w:r>
      <w:r w:rsidR="00237998" w:rsidRPr="00AE14B1">
        <w:rPr>
          <w:rFonts w:asciiTheme="minorHAnsi" w:hAnsiTheme="minorHAnsi"/>
          <w:bCs/>
          <w:color w:val="000000" w:themeColor="text1"/>
          <w:sz w:val="20"/>
          <w:szCs w:val="20"/>
        </w:rPr>
        <w:t>48</w:t>
      </w:r>
      <w:r w:rsidRPr="00AE14B1">
        <w:rPr>
          <w:rFonts w:asciiTheme="minorHAnsi" w:hAnsiTheme="minorHAnsi"/>
          <w:bCs/>
          <w:color w:val="000000" w:themeColor="text1"/>
          <w:sz w:val="20"/>
          <w:szCs w:val="20"/>
        </w:rPr>
        <w:t xml:space="preserve"> quinquenios por profesor participante. En cuanto a actividad investigadora, en la UCA, el número total de sexenios del profesorado con participación en el máster es de 8</w:t>
      </w:r>
      <w:r w:rsidR="00C20C93" w:rsidRPr="00AE14B1">
        <w:rPr>
          <w:rFonts w:asciiTheme="minorHAnsi" w:hAnsiTheme="minorHAnsi"/>
          <w:bCs/>
          <w:color w:val="000000" w:themeColor="text1"/>
          <w:sz w:val="20"/>
          <w:szCs w:val="20"/>
        </w:rPr>
        <w:t>5</w:t>
      </w:r>
      <w:r w:rsidRPr="00AE14B1">
        <w:rPr>
          <w:rFonts w:asciiTheme="minorHAnsi" w:hAnsiTheme="minorHAnsi"/>
          <w:bCs/>
          <w:color w:val="000000" w:themeColor="text1"/>
          <w:sz w:val="20"/>
          <w:szCs w:val="20"/>
        </w:rPr>
        <w:t>, correspondiendo estos en su mayoría a catedráticos y funcionarios de universidad (</w:t>
      </w:r>
      <w:r w:rsidR="00C20C93" w:rsidRPr="00AE14B1">
        <w:rPr>
          <w:rFonts w:asciiTheme="minorHAnsi" w:hAnsiTheme="minorHAnsi"/>
          <w:bCs/>
          <w:color w:val="000000" w:themeColor="text1"/>
          <w:sz w:val="20"/>
          <w:szCs w:val="20"/>
        </w:rPr>
        <w:t>82</w:t>
      </w:r>
      <w:r w:rsidRPr="00AE14B1">
        <w:rPr>
          <w:rFonts w:asciiTheme="minorHAnsi" w:hAnsiTheme="minorHAnsi"/>
          <w:bCs/>
          <w:color w:val="000000" w:themeColor="text1"/>
          <w:sz w:val="20"/>
          <w:szCs w:val="20"/>
        </w:rPr>
        <w:t xml:space="preserve">), lo que hace una media de </w:t>
      </w:r>
      <w:r w:rsidR="00C20C93" w:rsidRPr="00AE14B1">
        <w:rPr>
          <w:rFonts w:asciiTheme="minorHAnsi" w:hAnsiTheme="minorHAnsi"/>
          <w:bCs/>
          <w:color w:val="000000" w:themeColor="text1"/>
          <w:sz w:val="20"/>
          <w:szCs w:val="20"/>
        </w:rPr>
        <w:t>3,03</w:t>
      </w:r>
      <w:r w:rsidRPr="00AE14B1">
        <w:rPr>
          <w:rFonts w:asciiTheme="minorHAnsi" w:hAnsiTheme="minorHAnsi"/>
          <w:bCs/>
          <w:color w:val="000000" w:themeColor="text1"/>
          <w:sz w:val="20"/>
          <w:szCs w:val="20"/>
        </w:rPr>
        <w:t xml:space="preserve"> sexenios por cada docente funcionario que participa en el máster. El número de créditos de dedicación al título para catedráticos y profesores titulares de universidad es de 2</w:t>
      </w:r>
      <w:r w:rsidR="00C20C93" w:rsidRPr="00AE14B1">
        <w:rPr>
          <w:rFonts w:asciiTheme="minorHAnsi" w:hAnsiTheme="minorHAnsi"/>
          <w:bCs/>
          <w:color w:val="000000" w:themeColor="text1"/>
          <w:sz w:val="20"/>
          <w:szCs w:val="20"/>
        </w:rPr>
        <w:t>3</w:t>
      </w:r>
      <w:r w:rsidRPr="00AE14B1">
        <w:rPr>
          <w:rFonts w:asciiTheme="minorHAnsi" w:hAnsiTheme="minorHAnsi"/>
          <w:bCs/>
          <w:color w:val="000000" w:themeColor="text1"/>
          <w:sz w:val="20"/>
          <w:szCs w:val="20"/>
        </w:rPr>
        <w:t>,38 créditos de un total de 38,</w:t>
      </w:r>
      <w:r w:rsidR="00C20C93" w:rsidRPr="00AE14B1">
        <w:rPr>
          <w:rFonts w:asciiTheme="minorHAnsi" w:hAnsiTheme="minorHAnsi"/>
          <w:bCs/>
          <w:color w:val="000000" w:themeColor="text1"/>
          <w:sz w:val="20"/>
          <w:szCs w:val="20"/>
        </w:rPr>
        <w:t>88</w:t>
      </w:r>
      <w:r w:rsidRPr="00AE14B1">
        <w:rPr>
          <w:rFonts w:asciiTheme="minorHAnsi" w:hAnsiTheme="minorHAnsi"/>
          <w:bCs/>
          <w:color w:val="000000" w:themeColor="text1"/>
          <w:sz w:val="20"/>
          <w:szCs w:val="20"/>
        </w:rPr>
        <w:t>.</w:t>
      </w:r>
    </w:p>
    <w:p w14:paraId="524F0E23" w14:textId="6143554E" w:rsidR="00144753" w:rsidRPr="00AE14B1" w:rsidRDefault="00144753" w:rsidP="00144753">
      <w:pPr>
        <w:spacing w:after="120" w:line="240" w:lineRule="auto"/>
        <w:jc w:val="both"/>
        <w:rPr>
          <w:rFonts w:asciiTheme="minorHAnsi" w:hAnsiTheme="minorHAnsi"/>
          <w:bCs/>
          <w:color w:val="000000" w:themeColor="text1"/>
          <w:sz w:val="20"/>
          <w:szCs w:val="20"/>
        </w:rPr>
      </w:pPr>
      <w:r w:rsidRPr="001E72EF">
        <w:rPr>
          <w:rFonts w:asciiTheme="minorHAnsi" w:hAnsiTheme="minorHAnsi"/>
          <w:bCs/>
          <w:color w:val="000000" w:themeColor="text1"/>
          <w:sz w:val="20"/>
          <w:szCs w:val="20"/>
        </w:rPr>
        <w:t>En cuanto a la Universidad de Córdoba, son 20 los profesores de los cuerpos docentes universitarios, que se distribuyen de la forma siguiente: Catedráticos de Universidad (20%), Profesores Titulares de Universidad (60 %), profesores contratados doctores (15%), ascendiendo al 5% en el caso de otro personal docente con contrato laboral. El 100% de los docentes de la UCO del máster tienen el título de doctor. Estos profesores disponen de 56 quinquenios reconocidos, lo que indica una adecuada capacidad docente.  Para el resto de figuras</w:t>
      </w:r>
      <w:r w:rsidR="008A1A8C">
        <w:rPr>
          <w:rFonts w:asciiTheme="minorHAnsi" w:hAnsiTheme="minorHAnsi"/>
          <w:bCs/>
          <w:color w:val="000000" w:themeColor="text1"/>
          <w:sz w:val="20"/>
          <w:szCs w:val="20"/>
        </w:rPr>
        <w:t xml:space="preserve"> docentes</w:t>
      </w:r>
      <w:r w:rsidRPr="001E72EF">
        <w:rPr>
          <w:rFonts w:asciiTheme="minorHAnsi" w:hAnsiTheme="minorHAnsi"/>
          <w:bCs/>
          <w:color w:val="000000" w:themeColor="text1"/>
          <w:sz w:val="20"/>
          <w:szCs w:val="20"/>
        </w:rPr>
        <w:t xml:space="preserve">, </w:t>
      </w:r>
      <w:r w:rsidR="001E72EF" w:rsidRPr="001E72EF">
        <w:rPr>
          <w:rFonts w:asciiTheme="minorHAnsi" w:hAnsiTheme="minorHAnsi"/>
          <w:bCs/>
          <w:color w:val="000000" w:themeColor="text1"/>
          <w:sz w:val="20"/>
          <w:szCs w:val="20"/>
        </w:rPr>
        <w:t>no se</w:t>
      </w:r>
      <w:r w:rsidRPr="001E72EF">
        <w:rPr>
          <w:rFonts w:asciiTheme="minorHAnsi" w:hAnsiTheme="minorHAnsi"/>
          <w:bCs/>
          <w:color w:val="000000" w:themeColor="text1"/>
          <w:sz w:val="20"/>
          <w:szCs w:val="20"/>
        </w:rPr>
        <w:t xml:space="preserve"> dispone de evidencias, toda vez que este profesorado no tiene la posibilidad de solicitar quinquenios docentes, si bien se estima en más de 5 años su experiencia docente. El profesorado de la UCO cuenta con 39 sexenios de investigación, lo que supone una media de 2,44 sexenios por cada docente funcionario que participa en el máster. El número de créditos de dedicación para catedráticos y titulares de universidad es de 38,75 créditos de un total de 80 (para los módulos comunes, Producción y Tecnologías Agroalimentaria, Calidad y Seguridad Alimentaria y Gastronomía y Nutrición).</w:t>
      </w:r>
    </w:p>
    <w:p w14:paraId="3DDE3EAA" w14:textId="77777777" w:rsidR="00C20C93" w:rsidRPr="00AE14B1" w:rsidRDefault="00144753" w:rsidP="00144753">
      <w:pPr>
        <w:spacing w:after="120" w:line="240" w:lineRule="auto"/>
        <w:jc w:val="both"/>
        <w:rPr>
          <w:rFonts w:asciiTheme="minorHAnsi" w:hAnsiTheme="minorHAnsi"/>
          <w:bCs/>
          <w:color w:val="000000" w:themeColor="text1"/>
          <w:sz w:val="20"/>
          <w:szCs w:val="20"/>
        </w:rPr>
      </w:pPr>
      <w:r w:rsidRPr="00AE14B1">
        <w:rPr>
          <w:rFonts w:asciiTheme="minorHAnsi" w:hAnsiTheme="minorHAnsi"/>
          <w:bCs/>
          <w:color w:val="000000" w:themeColor="text1"/>
          <w:sz w:val="20"/>
          <w:szCs w:val="20"/>
        </w:rPr>
        <w:t>En el caso de la UCA, cabe destacarse el alto porcentaje de participación del profesorado UCA en acciones formativas (65</w:t>
      </w:r>
      <w:r w:rsidR="00C20C93" w:rsidRPr="00AE14B1">
        <w:rPr>
          <w:rFonts w:asciiTheme="minorHAnsi" w:hAnsiTheme="minorHAnsi"/>
          <w:bCs/>
          <w:color w:val="000000" w:themeColor="text1"/>
          <w:sz w:val="20"/>
          <w:szCs w:val="20"/>
        </w:rPr>
        <w:t>,85</w:t>
      </w:r>
      <w:r w:rsidRPr="00AE14B1">
        <w:rPr>
          <w:rFonts w:asciiTheme="minorHAnsi" w:hAnsiTheme="minorHAnsi"/>
          <w:bCs/>
          <w:color w:val="000000" w:themeColor="text1"/>
          <w:sz w:val="20"/>
          <w:szCs w:val="20"/>
        </w:rPr>
        <w:t>%) y en proyectos de</w:t>
      </w:r>
      <w:r w:rsidR="00C20C93" w:rsidRPr="00AE14B1">
        <w:rPr>
          <w:rFonts w:asciiTheme="minorHAnsi" w:hAnsiTheme="minorHAnsi"/>
          <w:bCs/>
          <w:color w:val="000000" w:themeColor="text1"/>
          <w:sz w:val="20"/>
          <w:szCs w:val="20"/>
        </w:rPr>
        <w:t xml:space="preserve"> innovación y mejora docente (65,85</w:t>
      </w:r>
      <w:r w:rsidRPr="00AE14B1">
        <w:rPr>
          <w:rFonts w:asciiTheme="minorHAnsi" w:hAnsiTheme="minorHAnsi"/>
          <w:bCs/>
          <w:color w:val="000000" w:themeColor="text1"/>
          <w:sz w:val="20"/>
          <w:szCs w:val="20"/>
        </w:rPr>
        <w:t xml:space="preserve">%), superiores a los correspondientes al Centro y la Universidad. </w:t>
      </w:r>
    </w:p>
    <w:p w14:paraId="5EAC2A6B" w14:textId="61E507E6" w:rsidR="00E75FD0" w:rsidRDefault="00144753" w:rsidP="005A514B">
      <w:pPr>
        <w:spacing w:after="120" w:line="240" w:lineRule="auto"/>
        <w:jc w:val="both"/>
        <w:rPr>
          <w:rFonts w:asciiTheme="minorHAnsi" w:hAnsiTheme="minorHAnsi"/>
          <w:i/>
          <w:color w:val="FF0000"/>
          <w:sz w:val="16"/>
        </w:rPr>
      </w:pPr>
      <w:r w:rsidRPr="00AE14B1">
        <w:rPr>
          <w:rFonts w:asciiTheme="minorHAnsi" w:hAnsiTheme="minorHAnsi"/>
          <w:bCs/>
          <w:color w:val="000000" w:themeColor="text1"/>
          <w:sz w:val="20"/>
          <w:szCs w:val="20"/>
        </w:rPr>
        <w:t xml:space="preserve">A modo de resumen </w:t>
      </w:r>
      <w:r w:rsidR="008A1A8C">
        <w:rPr>
          <w:rFonts w:asciiTheme="minorHAnsi" w:hAnsiTheme="minorHAnsi"/>
          <w:bCs/>
          <w:color w:val="000000" w:themeColor="text1"/>
          <w:sz w:val="20"/>
          <w:szCs w:val="20"/>
        </w:rPr>
        <w:t>se puede</w:t>
      </w:r>
      <w:r w:rsidRPr="00AE14B1">
        <w:rPr>
          <w:rFonts w:asciiTheme="minorHAnsi" w:hAnsiTheme="minorHAnsi"/>
          <w:bCs/>
          <w:color w:val="000000" w:themeColor="text1"/>
          <w:sz w:val="20"/>
          <w:szCs w:val="20"/>
        </w:rPr>
        <w:t xml:space="preserve"> concluir que ha quedado claramente demostrada la alta cualificación tanto docente como investigadora del profesorado UCA y UCO del máster en agroalimentación, profesorado que además de impartir la docencia asignada en dicho máster, participa de su gestión y coordinación, así como de las labores de tutorización de las prácticas curriculares y TFM del mismo.</w:t>
      </w:r>
      <w:r w:rsidR="00F05575">
        <w:rPr>
          <w:rFonts w:asciiTheme="minorHAnsi" w:hAnsiTheme="minorHAnsi"/>
          <w:bCs/>
          <w:color w:val="000000" w:themeColor="text1"/>
          <w:sz w:val="20"/>
          <w:szCs w:val="20"/>
        </w:rPr>
        <w:t xml:space="preserve"> </w:t>
      </w:r>
      <w:r w:rsidR="00F05575" w:rsidRPr="00324B26">
        <w:rPr>
          <w:rFonts w:asciiTheme="minorHAnsi" w:hAnsiTheme="minorHAnsi"/>
          <w:bCs/>
          <w:color w:val="000000" w:themeColor="text1"/>
          <w:sz w:val="20"/>
          <w:szCs w:val="20"/>
        </w:rPr>
        <w:t>D</w:t>
      </w:r>
      <w:r w:rsidR="005A514B" w:rsidRPr="00324B26">
        <w:rPr>
          <w:rFonts w:asciiTheme="minorHAnsi" w:hAnsiTheme="minorHAnsi"/>
          <w:bCs/>
          <w:color w:val="000000" w:themeColor="text1"/>
          <w:sz w:val="20"/>
          <w:szCs w:val="20"/>
        </w:rPr>
        <w:t>estacar que los profesores que imparten docencia en el máster tienen una amplia experiencia en el uso de herramientas para la docencia y evaluación online, ya que por el carácter Interuniversitario de este máster parte de la docencia se desarrolla, desde sus inicios, en forma presencial síncrona y la evaluación es online, cómo se recoge en las guías docentes de las asignaturas.</w:t>
      </w:r>
      <w:r w:rsidR="005A514B">
        <w:rPr>
          <w:rFonts w:asciiTheme="minorHAnsi" w:hAnsiTheme="minorHAnsi"/>
          <w:bCs/>
          <w:color w:val="000000" w:themeColor="text1"/>
          <w:sz w:val="20"/>
          <w:szCs w:val="20"/>
        </w:rPr>
        <w:t xml:space="preserve"> </w:t>
      </w:r>
    </w:p>
    <w:p w14:paraId="0DE444B5" w14:textId="77777777" w:rsidR="00E75FD0" w:rsidRPr="00AE14B1" w:rsidRDefault="00E75FD0" w:rsidP="00E75FD0">
      <w:pPr>
        <w:spacing w:after="120" w:line="240" w:lineRule="auto"/>
        <w:jc w:val="both"/>
        <w:rPr>
          <w:rFonts w:asciiTheme="minorHAnsi" w:hAnsiTheme="minorHAnsi"/>
          <w:b/>
          <w:bCs/>
          <w:sz w:val="20"/>
          <w:szCs w:val="20"/>
        </w:rPr>
      </w:pPr>
      <w:r w:rsidRPr="00AE14B1">
        <w:rPr>
          <w:rFonts w:asciiTheme="minorHAnsi" w:hAnsiTheme="minorHAnsi"/>
          <w:b/>
          <w:bCs/>
          <w:sz w:val="20"/>
          <w:szCs w:val="20"/>
        </w:rPr>
        <w:t>Apartado COVID</w:t>
      </w:r>
    </w:p>
    <w:p w14:paraId="092C9492" w14:textId="75433C1E" w:rsidR="00123C41" w:rsidRPr="008C5798" w:rsidRDefault="008C5798" w:rsidP="00123C41">
      <w:pPr>
        <w:spacing w:after="0" w:line="240" w:lineRule="auto"/>
        <w:jc w:val="both"/>
        <w:rPr>
          <w:sz w:val="20"/>
          <w:szCs w:val="20"/>
        </w:rPr>
      </w:pPr>
      <w:r>
        <w:rPr>
          <w:sz w:val="20"/>
          <w:szCs w:val="20"/>
        </w:rPr>
        <w:lastRenderedPageBreak/>
        <w:t>El máster no ha visto modificada su sistema de evaluación</w:t>
      </w:r>
      <w:r w:rsidR="00E92437">
        <w:rPr>
          <w:sz w:val="20"/>
          <w:szCs w:val="20"/>
        </w:rPr>
        <w:t xml:space="preserve"> por la pandemia de la COVID-19,</w:t>
      </w:r>
      <w:r>
        <w:rPr>
          <w:sz w:val="20"/>
          <w:szCs w:val="20"/>
        </w:rPr>
        <w:t xml:space="preserve"> ya que</w:t>
      </w:r>
      <w:r w:rsidR="008A1A8C">
        <w:rPr>
          <w:sz w:val="20"/>
          <w:szCs w:val="20"/>
        </w:rPr>
        <w:t>,</w:t>
      </w:r>
      <w:r>
        <w:rPr>
          <w:sz w:val="20"/>
          <w:szCs w:val="20"/>
        </w:rPr>
        <w:t xml:space="preserve"> por su carácter interuniversitario, desde su implantación se evalúa con herramientas que permiten la evaluación online.</w:t>
      </w:r>
    </w:p>
    <w:p w14:paraId="0E4C5D17" w14:textId="77777777" w:rsidR="00E75FD0" w:rsidRPr="00A17929" w:rsidRDefault="00E75FD0" w:rsidP="00E75FD0">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E75FD0" w:rsidRPr="00037BD7" w14:paraId="5262BBD8" w14:textId="77777777" w:rsidTr="00E75FD0">
        <w:trPr>
          <w:jc w:val="center"/>
        </w:trPr>
        <w:tc>
          <w:tcPr>
            <w:tcW w:w="5000" w:type="pct"/>
            <w:shd w:val="clear" w:color="auto" w:fill="00607C"/>
          </w:tcPr>
          <w:p w14:paraId="229BE9BD" w14:textId="77777777" w:rsidR="00E75FD0" w:rsidRPr="00037BD7" w:rsidRDefault="00E75FD0" w:rsidP="00E75FD0">
            <w:pPr>
              <w:spacing w:after="0" w:line="240" w:lineRule="auto"/>
              <w:jc w:val="both"/>
              <w:rPr>
                <w:b/>
                <w:i/>
                <w:color w:val="FFFFFF"/>
                <w:sz w:val="20"/>
                <w:szCs w:val="20"/>
              </w:rPr>
            </w:pPr>
            <w:r w:rsidRPr="00037BD7">
              <w:rPr>
                <w:b/>
                <w:i/>
                <w:color w:val="FFFFFF"/>
                <w:sz w:val="20"/>
                <w:szCs w:val="20"/>
              </w:rPr>
              <w:t>Puntos Fuertes:</w:t>
            </w:r>
          </w:p>
        </w:tc>
      </w:tr>
      <w:tr w:rsidR="00E75FD0" w:rsidRPr="00037BD7" w14:paraId="4B18FFF9" w14:textId="77777777" w:rsidTr="00E75FD0">
        <w:trPr>
          <w:jc w:val="center"/>
        </w:trPr>
        <w:tc>
          <w:tcPr>
            <w:tcW w:w="5000" w:type="pct"/>
            <w:tcBorders>
              <w:bottom w:val="single" w:sz="4" w:space="0" w:color="auto"/>
            </w:tcBorders>
          </w:tcPr>
          <w:p w14:paraId="30CD328C" w14:textId="03A5FD92" w:rsidR="00E75FD0" w:rsidRPr="00037BD7" w:rsidRDefault="00E92437" w:rsidP="00E75FD0">
            <w:pPr>
              <w:autoSpaceDE w:val="0"/>
              <w:autoSpaceDN w:val="0"/>
              <w:adjustRightInd w:val="0"/>
              <w:spacing w:after="0" w:line="240" w:lineRule="auto"/>
              <w:jc w:val="both"/>
              <w:rPr>
                <w:sz w:val="18"/>
              </w:rPr>
            </w:pPr>
            <w:r>
              <w:rPr>
                <w:sz w:val="18"/>
              </w:rPr>
              <w:t xml:space="preserve">2020-21: </w:t>
            </w:r>
            <w:r w:rsidR="007025BF">
              <w:rPr>
                <w:sz w:val="18"/>
              </w:rPr>
              <w:t>A</w:t>
            </w:r>
            <w:r>
              <w:rPr>
                <w:sz w:val="18"/>
              </w:rPr>
              <w:t>lto grado de satisfacción global del alumnado con la docencia</w:t>
            </w:r>
          </w:p>
        </w:tc>
      </w:tr>
    </w:tbl>
    <w:p w14:paraId="19B8B690" w14:textId="77777777" w:rsidR="00E75FD0" w:rsidRDefault="00E75FD0" w:rsidP="00123C41">
      <w:pPr>
        <w:spacing w:after="0" w:line="240" w:lineRule="auto"/>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66C4911B" w14:textId="77777777" w:rsidTr="00BB1529">
        <w:trPr>
          <w:jc w:val="center"/>
        </w:trPr>
        <w:tc>
          <w:tcPr>
            <w:tcW w:w="5000" w:type="pct"/>
            <w:shd w:val="clear" w:color="auto" w:fill="D9D9D9"/>
          </w:tcPr>
          <w:p w14:paraId="5E40608B" w14:textId="77777777" w:rsidR="00123C41" w:rsidRPr="000C41E0" w:rsidRDefault="00123C41" w:rsidP="00B416FA">
            <w:pPr>
              <w:pStyle w:val="Prrafodelista"/>
              <w:numPr>
                <w:ilvl w:val="0"/>
                <w:numId w:val="3"/>
              </w:numPr>
              <w:spacing w:before="60" w:after="60" w:line="240" w:lineRule="auto"/>
              <w:ind w:left="300" w:hanging="357"/>
              <w:contextualSpacing w:val="0"/>
              <w:rPr>
                <w:b/>
                <w:i/>
              </w:rPr>
            </w:pPr>
            <w:r>
              <w:rPr>
                <w:b/>
                <w:i/>
              </w:rPr>
              <w:t>INFRAESTRUCTURAS, SERVICIOS Y DOTACIÓN DE RECURSOS</w:t>
            </w:r>
          </w:p>
        </w:tc>
      </w:tr>
    </w:tbl>
    <w:p w14:paraId="73951A59" w14:textId="77777777" w:rsidR="001829A3" w:rsidRDefault="001829A3" w:rsidP="00AB714C">
      <w:pPr>
        <w:spacing w:after="0"/>
      </w:pPr>
    </w:p>
    <w:p w14:paraId="3A20CAC8" w14:textId="77777777" w:rsidR="001829A3" w:rsidRPr="00BD7414" w:rsidRDefault="001829A3" w:rsidP="001829A3">
      <w:pPr>
        <w:spacing w:after="0" w:line="240" w:lineRule="auto"/>
        <w:jc w:val="both"/>
        <w:rPr>
          <w:rFonts w:asciiTheme="minorHAnsi" w:hAnsiTheme="minorHAnsi"/>
          <w:color w:val="FFFFFF"/>
        </w:rPr>
      </w:pPr>
      <w:r w:rsidRPr="00C71BAF">
        <w:rPr>
          <w:rFonts w:asciiTheme="minorHAnsi" w:hAnsiTheme="minorHAnsi"/>
          <w:b/>
          <w:i/>
        </w:rPr>
        <w:t>Análisis y Valoración:</w:t>
      </w:r>
    </w:p>
    <w:p w14:paraId="17103DA4" w14:textId="77777777" w:rsidR="001829A3" w:rsidRPr="00A946E3" w:rsidRDefault="001829A3" w:rsidP="001829A3">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4821"/>
        <w:gridCol w:w="799"/>
        <w:gridCol w:w="910"/>
        <w:gridCol w:w="910"/>
        <w:gridCol w:w="800"/>
        <w:gridCol w:w="910"/>
      </w:tblGrid>
      <w:tr w:rsidR="001829A3" w:rsidRPr="002532D1" w14:paraId="1A701572" w14:textId="77777777" w:rsidTr="00152911">
        <w:trPr>
          <w:trHeight w:val="600"/>
        </w:trPr>
        <w:tc>
          <w:tcPr>
            <w:tcW w:w="2635" w:type="pct"/>
            <w:tcBorders>
              <w:top w:val="single" w:sz="4" w:space="0" w:color="000000"/>
              <w:left w:val="nil"/>
              <w:bottom w:val="single" w:sz="4" w:space="0" w:color="000000"/>
              <w:right w:val="single" w:sz="4" w:space="0" w:color="000000"/>
            </w:tcBorders>
            <w:shd w:val="clear" w:color="000000" w:fill="244061"/>
            <w:vAlign w:val="center"/>
            <w:hideMark/>
          </w:tcPr>
          <w:p w14:paraId="65196E07" w14:textId="77777777" w:rsidR="001829A3" w:rsidRPr="002532D1" w:rsidRDefault="001829A3" w:rsidP="001829A3">
            <w:pPr>
              <w:spacing w:after="0" w:line="240" w:lineRule="auto"/>
              <w:jc w:val="center"/>
              <w:rPr>
                <w:rFonts w:asciiTheme="minorHAnsi" w:eastAsia="Times New Roman" w:hAnsiTheme="minorHAnsi" w:cs="Arial"/>
                <w:color w:val="FFFFFF"/>
                <w:sz w:val="16"/>
                <w:szCs w:val="16"/>
                <w:lang w:eastAsia="es-ES"/>
              </w:rPr>
            </w:pPr>
            <w:r w:rsidRPr="002532D1">
              <w:rPr>
                <w:rFonts w:asciiTheme="minorHAnsi" w:eastAsia="Times New Roman" w:hAnsiTheme="minorHAnsi" w:cs="Arial"/>
                <w:color w:val="FFFFFF"/>
                <w:sz w:val="16"/>
                <w:szCs w:val="16"/>
                <w:lang w:eastAsia="es-ES"/>
              </w:rPr>
              <w:t>INDICADOR (TÍTULO)</w:t>
            </w:r>
          </w:p>
        </w:tc>
        <w:tc>
          <w:tcPr>
            <w:tcW w:w="437" w:type="pct"/>
            <w:tcBorders>
              <w:top w:val="single" w:sz="4" w:space="0" w:color="000000"/>
              <w:left w:val="nil"/>
              <w:bottom w:val="single" w:sz="4" w:space="0" w:color="000000"/>
              <w:right w:val="single" w:sz="4" w:space="0" w:color="000000"/>
            </w:tcBorders>
            <w:shd w:val="clear" w:color="000000" w:fill="244061"/>
            <w:vAlign w:val="center"/>
            <w:hideMark/>
          </w:tcPr>
          <w:p w14:paraId="1B9EFE41" w14:textId="77777777" w:rsidR="001829A3" w:rsidRPr="002532D1" w:rsidRDefault="001829A3" w:rsidP="001829A3">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2016-17</w:t>
            </w:r>
          </w:p>
        </w:tc>
        <w:tc>
          <w:tcPr>
            <w:tcW w:w="497" w:type="pct"/>
            <w:tcBorders>
              <w:top w:val="single" w:sz="4" w:space="0" w:color="000000"/>
              <w:left w:val="nil"/>
              <w:bottom w:val="single" w:sz="4" w:space="0" w:color="000000"/>
              <w:right w:val="single" w:sz="4" w:space="0" w:color="000000"/>
            </w:tcBorders>
            <w:shd w:val="clear" w:color="000000" w:fill="244061"/>
            <w:vAlign w:val="center"/>
            <w:hideMark/>
          </w:tcPr>
          <w:p w14:paraId="3D8CB2D2" w14:textId="77777777" w:rsidR="001829A3" w:rsidRPr="002532D1" w:rsidRDefault="001829A3" w:rsidP="001829A3">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2017-18</w:t>
            </w:r>
          </w:p>
        </w:tc>
        <w:tc>
          <w:tcPr>
            <w:tcW w:w="497" w:type="pct"/>
            <w:tcBorders>
              <w:top w:val="single" w:sz="4" w:space="0" w:color="000000"/>
              <w:left w:val="nil"/>
              <w:bottom w:val="single" w:sz="4" w:space="0" w:color="000000"/>
              <w:right w:val="single" w:sz="4" w:space="0" w:color="000000"/>
            </w:tcBorders>
            <w:shd w:val="clear" w:color="000000" w:fill="244061"/>
            <w:vAlign w:val="center"/>
            <w:hideMark/>
          </w:tcPr>
          <w:p w14:paraId="59B4E666" w14:textId="77777777" w:rsidR="001829A3" w:rsidRPr="002532D1" w:rsidRDefault="001829A3" w:rsidP="001829A3">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2018-19</w:t>
            </w:r>
          </w:p>
        </w:tc>
        <w:tc>
          <w:tcPr>
            <w:tcW w:w="437" w:type="pct"/>
            <w:tcBorders>
              <w:top w:val="single" w:sz="4" w:space="0" w:color="000000"/>
              <w:left w:val="nil"/>
              <w:bottom w:val="single" w:sz="4" w:space="0" w:color="000000"/>
              <w:right w:val="single" w:sz="4" w:space="0" w:color="000000"/>
            </w:tcBorders>
            <w:shd w:val="clear" w:color="000000" w:fill="244061"/>
            <w:vAlign w:val="center"/>
            <w:hideMark/>
          </w:tcPr>
          <w:p w14:paraId="0BF7B52B" w14:textId="77777777" w:rsidR="001829A3" w:rsidRPr="002532D1" w:rsidRDefault="001829A3" w:rsidP="001829A3">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2019-20</w:t>
            </w:r>
          </w:p>
        </w:tc>
        <w:tc>
          <w:tcPr>
            <w:tcW w:w="497" w:type="pct"/>
            <w:tcBorders>
              <w:top w:val="single" w:sz="4" w:space="0" w:color="000000"/>
              <w:left w:val="nil"/>
              <w:bottom w:val="single" w:sz="4" w:space="0" w:color="000000"/>
              <w:right w:val="single" w:sz="4" w:space="0" w:color="000000"/>
            </w:tcBorders>
            <w:shd w:val="clear" w:color="000000" w:fill="244061"/>
            <w:vAlign w:val="center"/>
            <w:hideMark/>
          </w:tcPr>
          <w:p w14:paraId="38EDEB7E" w14:textId="77777777" w:rsidR="001829A3" w:rsidRPr="002532D1" w:rsidRDefault="001829A3" w:rsidP="001829A3">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2020-21</w:t>
            </w:r>
          </w:p>
        </w:tc>
      </w:tr>
      <w:tr w:rsidR="00152911" w:rsidRPr="002532D1" w14:paraId="559F3397"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58F373A1"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ISGC-P06-01: Tasa de adecuación del título</w:t>
            </w:r>
          </w:p>
        </w:tc>
        <w:tc>
          <w:tcPr>
            <w:tcW w:w="437" w:type="pct"/>
            <w:tcBorders>
              <w:top w:val="nil"/>
              <w:left w:val="nil"/>
              <w:bottom w:val="single" w:sz="4" w:space="0" w:color="000000"/>
              <w:right w:val="single" w:sz="4" w:space="0" w:color="000000"/>
            </w:tcBorders>
            <w:shd w:val="clear" w:color="auto" w:fill="auto"/>
            <w:hideMark/>
          </w:tcPr>
          <w:p w14:paraId="0EA7D0B1"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93%</w:t>
            </w:r>
          </w:p>
        </w:tc>
        <w:tc>
          <w:tcPr>
            <w:tcW w:w="497" w:type="pct"/>
            <w:tcBorders>
              <w:top w:val="nil"/>
              <w:left w:val="nil"/>
              <w:bottom w:val="single" w:sz="4" w:space="0" w:color="000000"/>
              <w:right w:val="single" w:sz="4" w:space="0" w:color="000000"/>
            </w:tcBorders>
            <w:shd w:val="clear" w:color="auto" w:fill="auto"/>
            <w:hideMark/>
          </w:tcPr>
          <w:p w14:paraId="56FDCAAD"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92,86%</w:t>
            </w:r>
          </w:p>
        </w:tc>
        <w:tc>
          <w:tcPr>
            <w:tcW w:w="497" w:type="pct"/>
            <w:tcBorders>
              <w:top w:val="nil"/>
              <w:left w:val="nil"/>
              <w:bottom w:val="single" w:sz="4" w:space="0" w:color="000000"/>
              <w:right w:val="single" w:sz="4" w:space="0" w:color="000000"/>
            </w:tcBorders>
            <w:shd w:val="clear" w:color="auto" w:fill="auto"/>
            <w:hideMark/>
          </w:tcPr>
          <w:p w14:paraId="6155276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105,56%</w:t>
            </w:r>
          </w:p>
        </w:tc>
        <w:tc>
          <w:tcPr>
            <w:tcW w:w="437" w:type="pct"/>
            <w:tcBorders>
              <w:top w:val="nil"/>
              <w:left w:val="nil"/>
              <w:bottom w:val="single" w:sz="4" w:space="0" w:color="000000"/>
              <w:right w:val="single" w:sz="4" w:space="0" w:color="000000"/>
            </w:tcBorders>
            <w:shd w:val="clear" w:color="auto" w:fill="auto"/>
            <w:hideMark/>
          </w:tcPr>
          <w:p w14:paraId="1AD5DBC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100%</w:t>
            </w:r>
          </w:p>
        </w:tc>
        <w:tc>
          <w:tcPr>
            <w:tcW w:w="497" w:type="pct"/>
            <w:tcBorders>
              <w:top w:val="nil"/>
              <w:left w:val="nil"/>
              <w:bottom w:val="single" w:sz="4" w:space="0" w:color="000000"/>
              <w:right w:val="single" w:sz="4" w:space="0" w:color="000000"/>
            </w:tcBorders>
            <w:shd w:val="clear" w:color="auto" w:fill="auto"/>
            <w:hideMark/>
          </w:tcPr>
          <w:p w14:paraId="195E66E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100%</w:t>
            </w:r>
          </w:p>
        </w:tc>
      </w:tr>
      <w:tr w:rsidR="00152911" w:rsidRPr="002532D1" w14:paraId="7C4721EB"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578B091C"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ISGC-P06-02: Tasa de ocupación del título</w:t>
            </w:r>
          </w:p>
        </w:tc>
        <w:tc>
          <w:tcPr>
            <w:tcW w:w="437" w:type="pct"/>
            <w:tcBorders>
              <w:top w:val="nil"/>
              <w:left w:val="nil"/>
              <w:bottom w:val="single" w:sz="4" w:space="0" w:color="000000"/>
              <w:right w:val="single" w:sz="4" w:space="0" w:color="000000"/>
            </w:tcBorders>
            <w:shd w:val="clear" w:color="auto" w:fill="auto"/>
            <w:hideMark/>
          </w:tcPr>
          <w:p w14:paraId="0BE96E8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86%</w:t>
            </w:r>
          </w:p>
        </w:tc>
        <w:tc>
          <w:tcPr>
            <w:tcW w:w="497" w:type="pct"/>
            <w:tcBorders>
              <w:top w:val="nil"/>
              <w:left w:val="nil"/>
              <w:bottom w:val="single" w:sz="4" w:space="0" w:color="000000"/>
              <w:right w:val="single" w:sz="4" w:space="0" w:color="000000"/>
            </w:tcBorders>
            <w:shd w:val="clear" w:color="auto" w:fill="auto"/>
            <w:hideMark/>
          </w:tcPr>
          <w:p w14:paraId="15423EC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80%</w:t>
            </w:r>
          </w:p>
        </w:tc>
        <w:tc>
          <w:tcPr>
            <w:tcW w:w="497" w:type="pct"/>
            <w:tcBorders>
              <w:top w:val="nil"/>
              <w:left w:val="nil"/>
              <w:bottom w:val="single" w:sz="4" w:space="0" w:color="000000"/>
              <w:right w:val="single" w:sz="4" w:space="0" w:color="000000"/>
            </w:tcBorders>
            <w:shd w:val="clear" w:color="auto" w:fill="auto"/>
            <w:hideMark/>
          </w:tcPr>
          <w:p w14:paraId="29705827"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102,86%</w:t>
            </w:r>
          </w:p>
        </w:tc>
        <w:tc>
          <w:tcPr>
            <w:tcW w:w="437" w:type="pct"/>
            <w:tcBorders>
              <w:top w:val="nil"/>
              <w:left w:val="nil"/>
              <w:bottom w:val="single" w:sz="4" w:space="0" w:color="000000"/>
              <w:right w:val="single" w:sz="4" w:space="0" w:color="000000"/>
            </w:tcBorders>
            <w:shd w:val="clear" w:color="auto" w:fill="auto"/>
            <w:hideMark/>
          </w:tcPr>
          <w:p w14:paraId="55F2988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80%</w:t>
            </w:r>
          </w:p>
        </w:tc>
        <w:tc>
          <w:tcPr>
            <w:tcW w:w="497" w:type="pct"/>
            <w:tcBorders>
              <w:top w:val="nil"/>
              <w:left w:val="nil"/>
              <w:bottom w:val="single" w:sz="4" w:space="0" w:color="000000"/>
              <w:right w:val="single" w:sz="4" w:space="0" w:color="000000"/>
            </w:tcBorders>
            <w:shd w:val="clear" w:color="auto" w:fill="auto"/>
            <w:hideMark/>
          </w:tcPr>
          <w:p w14:paraId="56D31E88"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91,43%</w:t>
            </w:r>
          </w:p>
        </w:tc>
      </w:tr>
      <w:tr w:rsidR="00152911" w:rsidRPr="002532D1" w14:paraId="217BAFCA"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4FED1E65"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ISGC-P06-03: Tasa de preferencia del título</w:t>
            </w:r>
          </w:p>
        </w:tc>
        <w:tc>
          <w:tcPr>
            <w:tcW w:w="437" w:type="pct"/>
            <w:tcBorders>
              <w:top w:val="nil"/>
              <w:left w:val="nil"/>
              <w:bottom w:val="single" w:sz="4" w:space="0" w:color="000000"/>
              <w:right w:val="single" w:sz="4" w:space="0" w:color="000000"/>
            </w:tcBorders>
            <w:shd w:val="clear" w:color="auto" w:fill="auto"/>
            <w:hideMark/>
          </w:tcPr>
          <w:p w14:paraId="56B3E36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80%</w:t>
            </w:r>
          </w:p>
        </w:tc>
        <w:tc>
          <w:tcPr>
            <w:tcW w:w="497" w:type="pct"/>
            <w:tcBorders>
              <w:top w:val="nil"/>
              <w:left w:val="nil"/>
              <w:bottom w:val="single" w:sz="4" w:space="0" w:color="000000"/>
              <w:right w:val="single" w:sz="4" w:space="0" w:color="000000"/>
            </w:tcBorders>
            <w:shd w:val="clear" w:color="auto" w:fill="auto"/>
            <w:hideMark/>
          </w:tcPr>
          <w:p w14:paraId="4E28CB87"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128,57%</w:t>
            </w:r>
          </w:p>
        </w:tc>
        <w:tc>
          <w:tcPr>
            <w:tcW w:w="497" w:type="pct"/>
            <w:tcBorders>
              <w:top w:val="nil"/>
              <w:left w:val="nil"/>
              <w:bottom w:val="single" w:sz="4" w:space="0" w:color="000000"/>
              <w:right w:val="single" w:sz="4" w:space="0" w:color="000000"/>
            </w:tcBorders>
            <w:shd w:val="clear" w:color="auto" w:fill="auto"/>
            <w:hideMark/>
          </w:tcPr>
          <w:p w14:paraId="0E14C85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131,43%</w:t>
            </w:r>
          </w:p>
        </w:tc>
        <w:tc>
          <w:tcPr>
            <w:tcW w:w="437" w:type="pct"/>
            <w:tcBorders>
              <w:top w:val="nil"/>
              <w:left w:val="nil"/>
              <w:bottom w:val="single" w:sz="4" w:space="0" w:color="000000"/>
              <w:right w:val="single" w:sz="4" w:space="0" w:color="000000"/>
            </w:tcBorders>
            <w:shd w:val="clear" w:color="auto" w:fill="auto"/>
            <w:hideMark/>
          </w:tcPr>
          <w:p w14:paraId="4E56AAB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120%</w:t>
            </w:r>
          </w:p>
        </w:tc>
        <w:tc>
          <w:tcPr>
            <w:tcW w:w="497" w:type="pct"/>
            <w:tcBorders>
              <w:top w:val="nil"/>
              <w:left w:val="nil"/>
              <w:bottom w:val="single" w:sz="4" w:space="0" w:color="000000"/>
              <w:right w:val="single" w:sz="4" w:space="0" w:color="000000"/>
            </w:tcBorders>
            <w:shd w:val="clear" w:color="auto" w:fill="auto"/>
            <w:hideMark/>
          </w:tcPr>
          <w:p w14:paraId="6DDF1028"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151,43%</w:t>
            </w:r>
          </w:p>
        </w:tc>
      </w:tr>
      <w:tr w:rsidR="00152911" w:rsidRPr="002532D1" w14:paraId="25C68DC4"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2113A988"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ISGC-P06-04: Tasa de renovación del título</w:t>
            </w:r>
          </w:p>
        </w:tc>
        <w:tc>
          <w:tcPr>
            <w:tcW w:w="437" w:type="pct"/>
            <w:tcBorders>
              <w:top w:val="nil"/>
              <w:left w:val="nil"/>
              <w:bottom w:val="single" w:sz="4" w:space="0" w:color="000000"/>
              <w:right w:val="single" w:sz="4" w:space="0" w:color="000000"/>
            </w:tcBorders>
            <w:shd w:val="clear" w:color="auto" w:fill="auto"/>
            <w:hideMark/>
          </w:tcPr>
          <w:p w14:paraId="0A5B9562"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82,86%</w:t>
            </w:r>
          </w:p>
        </w:tc>
        <w:tc>
          <w:tcPr>
            <w:tcW w:w="497" w:type="pct"/>
            <w:tcBorders>
              <w:top w:val="nil"/>
              <w:left w:val="nil"/>
              <w:bottom w:val="single" w:sz="4" w:space="0" w:color="000000"/>
              <w:right w:val="single" w:sz="4" w:space="0" w:color="000000"/>
            </w:tcBorders>
            <w:shd w:val="clear" w:color="auto" w:fill="auto"/>
            <w:hideMark/>
          </w:tcPr>
          <w:p w14:paraId="767E954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46,67%</w:t>
            </w:r>
          </w:p>
        </w:tc>
        <w:tc>
          <w:tcPr>
            <w:tcW w:w="497" w:type="pct"/>
            <w:tcBorders>
              <w:top w:val="nil"/>
              <w:left w:val="nil"/>
              <w:bottom w:val="single" w:sz="4" w:space="0" w:color="000000"/>
              <w:right w:val="single" w:sz="4" w:space="0" w:color="000000"/>
            </w:tcBorders>
            <w:shd w:val="clear" w:color="auto" w:fill="auto"/>
            <w:hideMark/>
          </w:tcPr>
          <w:p w14:paraId="7132E731"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73,47%</w:t>
            </w:r>
          </w:p>
        </w:tc>
        <w:tc>
          <w:tcPr>
            <w:tcW w:w="437" w:type="pct"/>
            <w:tcBorders>
              <w:top w:val="nil"/>
              <w:left w:val="nil"/>
              <w:bottom w:val="single" w:sz="4" w:space="0" w:color="000000"/>
              <w:right w:val="single" w:sz="4" w:space="0" w:color="000000"/>
            </w:tcBorders>
            <w:shd w:val="clear" w:color="auto" w:fill="auto"/>
            <w:hideMark/>
          </w:tcPr>
          <w:p w14:paraId="48DC276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60,87%</w:t>
            </w:r>
          </w:p>
        </w:tc>
        <w:tc>
          <w:tcPr>
            <w:tcW w:w="497" w:type="pct"/>
            <w:tcBorders>
              <w:top w:val="nil"/>
              <w:left w:val="nil"/>
              <w:bottom w:val="single" w:sz="4" w:space="0" w:color="000000"/>
              <w:right w:val="single" w:sz="4" w:space="0" w:color="000000"/>
            </w:tcBorders>
            <w:shd w:val="clear" w:color="auto" w:fill="auto"/>
            <w:hideMark/>
          </w:tcPr>
          <w:p w14:paraId="40E17EB4"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76,19%</w:t>
            </w:r>
          </w:p>
        </w:tc>
      </w:tr>
      <w:tr w:rsidR="00152911" w:rsidRPr="002532D1" w14:paraId="70A59B02" w14:textId="77777777" w:rsidTr="00152911">
        <w:trPr>
          <w:trHeight w:val="528"/>
        </w:trPr>
        <w:tc>
          <w:tcPr>
            <w:tcW w:w="2635" w:type="pct"/>
            <w:tcBorders>
              <w:top w:val="nil"/>
              <w:left w:val="nil"/>
              <w:bottom w:val="single" w:sz="4" w:space="0" w:color="000000"/>
              <w:right w:val="single" w:sz="4" w:space="0" w:color="000000"/>
            </w:tcBorders>
            <w:shd w:val="clear" w:color="000000" w:fill="CCCCCC"/>
            <w:vAlign w:val="center"/>
            <w:hideMark/>
          </w:tcPr>
          <w:p w14:paraId="4D3971E4"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437" w:type="pct"/>
            <w:tcBorders>
              <w:top w:val="nil"/>
              <w:left w:val="nil"/>
              <w:bottom w:val="single" w:sz="4" w:space="0" w:color="000000"/>
              <w:right w:val="single" w:sz="4" w:space="0" w:color="000000"/>
            </w:tcBorders>
            <w:shd w:val="clear" w:color="auto" w:fill="auto"/>
            <w:vAlign w:val="center"/>
            <w:hideMark/>
          </w:tcPr>
          <w:p w14:paraId="2FD321E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3,33</w:t>
            </w:r>
          </w:p>
        </w:tc>
        <w:tc>
          <w:tcPr>
            <w:tcW w:w="497" w:type="pct"/>
            <w:tcBorders>
              <w:top w:val="nil"/>
              <w:left w:val="nil"/>
              <w:bottom w:val="single" w:sz="4" w:space="0" w:color="000000"/>
              <w:right w:val="single" w:sz="4" w:space="0" w:color="000000"/>
            </w:tcBorders>
            <w:shd w:val="clear" w:color="auto" w:fill="auto"/>
            <w:vAlign w:val="center"/>
            <w:hideMark/>
          </w:tcPr>
          <w:p w14:paraId="51C962BA"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3,83</w:t>
            </w:r>
          </w:p>
        </w:tc>
        <w:tc>
          <w:tcPr>
            <w:tcW w:w="497" w:type="pct"/>
            <w:tcBorders>
              <w:top w:val="nil"/>
              <w:left w:val="nil"/>
              <w:bottom w:val="single" w:sz="4" w:space="0" w:color="000000"/>
              <w:right w:val="single" w:sz="4" w:space="0" w:color="000000"/>
            </w:tcBorders>
            <w:shd w:val="clear" w:color="auto" w:fill="auto"/>
            <w:vAlign w:val="center"/>
            <w:hideMark/>
          </w:tcPr>
          <w:p w14:paraId="35DD6D6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2,7</w:t>
            </w:r>
          </w:p>
        </w:tc>
        <w:tc>
          <w:tcPr>
            <w:tcW w:w="437" w:type="pct"/>
            <w:tcBorders>
              <w:top w:val="nil"/>
              <w:left w:val="nil"/>
              <w:bottom w:val="single" w:sz="4" w:space="0" w:color="000000"/>
              <w:right w:val="single" w:sz="4" w:space="0" w:color="000000"/>
            </w:tcBorders>
            <w:shd w:val="clear" w:color="auto" w:fill="auto"/>
            <w:vAlign w:val="center"/>
            <w:hideMark/>
          </w:tcPr>
          <w:p w14:paraId="0ABB27F2"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w:t>
            </w:r>
          </w:p>
        </w:tc>
        <w:tc>
          <w:tcPr>
            <w:tcW w:w="497" w:type="pct"/>
            <w:tcBorders>
              <w:top w:val="nil"/>
              <w:left w:val="nil"/>
              <w:bottom w:val="single" w:sz="4" w:space="0" w:color="000000"/>
              <w:right w:val="single" w:sz="4" w:space="0" w:color="000000"/>
            </w:tcBorders>
            <w:shd w:val="clear" w:color="auto" w:fill="auto"/>
            <w:vAlign w:val="center"/>
            <w:hideMark/>
          </w:tcPr>
          <w:p w14:paraId="48F8176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3,53</w:t>
            </w:r>
          </w:p>
        </w:tc>
      </w:tr>
      <w:tr w:rsidR="00152911" w:rsidRPr="002532D1" w14:paraId="535556D9"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1C389377"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437" w:type="pct"/>
            <w:tcBorders>
              <w:top w:val="nil"/>
              <w:left w:val="nil"/>
              <w:bottom w:val="single" w:sz="4" w:space="0" w:color="000000"/>
              <w:right w:val="single" w:sz="4" w:space="0" w:color="000000"/>
            </w:tcBorders>
            <w:shd w:val="clear" w:color="auto" w:fill="auto"/>
            <w:vAlign w:val="center"/>
            <w:hideMark/>
          </w:tcPr>
          <w:p w14:paraId="417DF9E6"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2,63</w:t>
            </w:r>
          </w:p>
        </w:tc>
        <w:tc>
          <w:tcPr>
            <w:tcW w:w="497" w:type="pct"/>
            <w:tcBorders>
              <w:top w:val="nil"/>
              <w:left w:val="nil"/>
              <w:bottom w:val="single" w:sz="4" w:space="0" w:color="000000"/>
              <w:right w:val="single" w:sz="4" w:space="0" w:color="000000"/>
            </w:tcBorders>
            <w:shd w:val="clear" w:color="auto" w:fill="auto"/>
            <w:vAlign w:val="center"/>
            <w:hideMark/>
          </w:tcPr>
          <w:p w14:paraId="18E8B2D7"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3,27</w:t>
            </w:r>
          </w:p>
        </w:tc>
        <w:tc>
          <w:tcPr>
            <w:tcW w:w="497" w:type="pct"/>
            <w:tcBorders>
              <w:top w:val="nil"/>
              <w:left w:val="nil"/>
              <w:bottom w:val="single" w:sz="4" w:space="0" w:color="000000"/>
              <w:right w:val="single" w:sz="4" w:space="0" w:color="000000"/>
            </w:tcBorders>
            <w:shd w:val="clear" w:color="auto" w:fill="auto"/>
            <w:vAlign w:val="center"/>
            <w:hideMark/>
          </w:tcPr>
          <w:p w14:paraId="3221A41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2,73</w:t>
            </w:r>
          </w:p>
        </w:tc>
        <w:tc>
          <w:tcPr>
            <w:tcW w:w="437" w:type="pct"/>
            <w:tcBorders>
              <w:top w:val="nil"/>
              <w:left w:val="nil"/>
              <w:bottom w:val="single" w:sz="4" w:space="0" w:color="000000"/>
              <w:right w:val="single" w:sz="4" w:space="0" w:color="000000"/>
            </w:tcBorders>
            <w:shd w:val="clear" w:color="auto" w:fill="auto"/>
            <w:vAlign w:val="center"/>
            <w:hideMark/>
          </w:tcPr>
          <w:p w14:paraId="4FA1EDB6"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w:t>
            </w:r>
          </w:p>
        </w:tc>
        <w:tc>
          <w:tcPr>
            <w:tcW w:w="497" w:type="pct"/>
            <w:tcBorders>
              <w:top w:val="nil"/>
              <w:left w:val="nil"/>
              <w:bottom w:val="single" w:sz="4" w:space="0" w:color="000000"/>
              <w:right w:val="single" w:sz="4" w:space="0" w:color="000000"/>
            </w:tcBorders>
            <w:shd w:val="clear" w:color="auto" w:fill="auto"/>
            <w:vAlign w:val="center"/>
            <w:hideMark/>
          </w:tcPr>
          <w:p w14:paraId="12293EA7"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3,11</w:t>
            </w:r>
          </w:p>
        </w:tc>
      </w:tr>
      <w:tr w:rsidR="00152911" w:rsidRPr="002532D1" w14:paraId="55C78724"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0BF195EE"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437" w:type="pct"/>
            <w:tcBorders>
              <w:top w:val="nil"/>
              <w:left w:val="nil"/>
              <w:bottom w:val="single" w:sz="4" w:space="0" w:color="000000"/>
              <w:right w:val="single" w:sz="4" w:space="0" w:color="000000"/>
            </w:tcBorders>
            <w:shd w:val="clear" w:color="auto" w:fill="auto"/>
            <w:vAlign w:val="center"/>
            <w:hideMark/>
          </w:tcPr>
          <w:p w14:paraId="4E118FC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3,71</w:t>
            </w:r>
          </w:p>
        </w:tc>
        <w:tc>
          <w:tcPr>
            <w:tcW w:w="497" w:type="pct"/>
            <w:tcBorders>
              <w:top w:val="nil"/>
              <w:left w:val="nil"/>
              <w:bottom w:val="single" w:sz="4" w:space="0" w:color="000000"/>
              <w:right w:val="single" w:sz="4" w:space="0" w:color="000000"/>
            </w:tcBorders>
            <w:shd w:val="clear" w:color="auto" w:fill="auto"/>
            <w:vAlign w:val="center"/>
            <w:hideMark/>
          </w:tcPr>
          <w:p w14:paraId="12C651C4"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4,03</w:t>
            </w:r>
          </w:p>
        </w:tc>
        <w:tc>
          <w:tcPr>
            <w:tcW w:w="497" w:type="pct"/>
            <w:tcBorders>
              <w:top w:val="nil"/>
              <w:left w:val="nil"/>
              <w:bottom w:val="single" w:sz="4" w:space="0" w:color="000000"/>
              <w:right w:val="single" w:sz="4" w:space="0" w:color="000000"/>
            </w:tcBorders>
            <w:shd w:val="clear" w:color="auto" w:fill="auto"/>
            <w:vAlign w:val="center"/>
            <w:hideMark/>
          </w:tcPr>
          <w:p w14:paraId="5D3B78B6"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3,59</w:t>
            </w:r>
          </w:p>
        </w:tc>
        <w:tc>
          <w:tcPr>
            <w:tcW w:w="437" w:type="pct"/>
            <w:tcBorders>
              <w:top w:val="nil"/>
              <w:left w:val="nil"/>
              <w:bottom w:val="single" w:sz="4" w:space="0" w:color="000000"/>
              <w:right w:val="single" w:sz="4" w:space="0" w:color="000000"/>
            </w:tcBorders>
            <w:shd w:val="clear" w:color="auto" w:fill="auto"/>
            <w:vAlign w:val="center"/>
            <w:hideMark/>
          </w:tcPr>
          <w:p w14:paraId="4D92B3E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w:t>
            </w:r>
          </w:p>
        </w:tc>
        <w:tc>
          <w:tcPr>
            <w:tcW w:w="497" w:type="pct"/>
            <w:tcBorders>
              <w:top w:val="nil"/>
              <w:left w:val="nil"/>
              <w:bottom w:val="single" w:sz="4" w:space="0" w:color="000000"/>
              <w:right w:val="single" w:sz="4" w:space="0" w:color="000000"/>
            </w:tcBorders>
            <w:shd w:val="clear" w:color="auto" w:fill="auto"/>
            <w:vAlign w:val="center"/>
            <w:hideMark/>
          </w:tcPr>
          <w:p w14:paraId="100CCAAA"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4,04</w:t>
            </w:r>
          </w:p>
        </w:tc>
      </w:tr>
      <w:tr w:rsidR="00152911" w:rsidRPr="002532D1" w14:paraId="07E57DA3" w14:textId="77777777" w:rsidTr="00152911">
        <w:trPr>
          <w:trHeight w:val="288"/>
        </w:trPr>
        <w:tc>
          <w:tcPr>
            <w:tcW w:w="2635" w:type="pct"/>
            <w:tcBorders>
              <w:top w:val="nil"/>
              <w:left w:val="nil"/>
              <w:bottom w:val="single" w:sz="4" w:space="0" w:color="000000"/>
              <w:right w:val="single" w:sz="4" w:space="0" w:color="000000"/>
            </w:tcBorders>
            <w:shd w:val="clear" w:color="000000" w:fill="CCCCCC"/>
            <w:vAlign w:val="center"/>
            <w:hideMark/>
          </w:tcPr>
          <w:p w14:paraId="6298506F"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437" w:type="pct"/>
            <w:tcBorders>
              <w:top w:val="nil"/>
              <w:left w:val="nil"/>
              <w:bottom w:val="single" w:sz="4" w:space="0" w:color="000000"/>
              <w:right w:val="single" w:sz="4" w:space="0" w:color="000000"/>
            </w:tcBorders>
            <w:shd w:val="clear" w:color="auto" w:fill="auto"/>
            <w:vAlign w:val="center"/>
            <w:hideMark/>
          </w:tcPr>
          <w:p w14:paraId="0852A2C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w:t>
            </w:r>
          </w:p>
        </w:tc>
        <w:tc>
          <w:tcPr>
            <w:tcW w:w="497" w:type="pct"/>
            <w:tcBorders>
              <w:top w:val="nil"/>
              <w:left w:val="nil"/>
              <w:bottom w:val="single" w:sz="4" w:space="0" w:color="000000"/>
              <w:right w:val="single" w:sz="4" w:space="0" w:color="000000"/>
            </w:tcBorders>
            <w:shd w:val="clear" w:color="auto" w:fill="auto"/>
            <w:vAlign w:val="center"/>
            <w:hideMark/>
          </w:tcPr>
          <w:p w14:paraId="653C11D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4,19</w:t>
            </w:r>
          </w:p>
        </w:tc>
        <w:tc>
          <w:tcPr>
            <w:tcW w:w="497" w:type="pct"/>
            <w:tcBorders>
              <w:top w:val="nil"/>
              <w:left w:val="nil"/>
              <w:bottom w:val="single" w:sz="4" w:space="0" w:color="000000"/>
              <w:right w:val="single" w:sz="4" w:space="0" w:color="000000"/>
            </w:tcBorders>
            <w:shd w:val="clear" w:color="auto" w:fill="auto"/>
            <w:vAlign w:val="center"/>
            <w:hideMark/>
          </w:tcPr>
          <w:p w14:paraId="4C8686D5"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4,28</w:t>
            </w:r>
          </w:p>
        </w:tc>
        <w:tc>
          <w:tcPr>
            <w:tcW w:w="437" w:type="pct"/>
            <w:tcBorders>
              <w:top w:val="nil"/>
              <w:left w:val="nil"/>
              <w:bottom w:val="single" w:sz="4" w:space="0" w:color="000000"/>
              <w:right w:val="single" w:sz="4" w:space="0" w:color="000000"/>
            </w:tcBorders>
            <w:shd w:val="clear" w:color="auto" w:fill="auto"/>
            <w:vAlign w:val="center"/>
            <w:hideMark/>
          </w:tcPr>
          <w:p w14:paraId="5FEF65A7"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w:t>
            </w:r>
          </w:p>
        </w:tc>
        <w:tc>
          <w:tcPr>
            <w:tcW w:w="497" w:type="pct"/>
            <w:tcBorders>
              <w:top w:val="nil"/>
              <w:left w:val="nil"/>
              <w:bottom w:val="single" w:sz="4" w:space="0" w:color="000000"/>
              <w:right w:val="single" w:sz="4" w:space="0" w:color="000000"/>
            </w:tcBorders>
            <w:shd w:val="clear" w:color="auto" w:fill="auto"/>
            <w:vAlign w:val="center"/>
            <w:hideMark/>
          </w:tcPr>
          <w:p w14:paraId="7E1BB46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color w:val="000000"/>
                <w:sz w:val="16"/>
                <w:szCs w:val="16"/>
              </w:rPr>
              <w:t>4,55</w:t>
            </w:r>
          </w:p>
        </w:tc>
      </w:tr>
    </w:tbl>
    <w:p w14:paraId="0A1186FF" w14:textId="77777777" w:rsidR="001829A3" w:rsidRDefault="001829A3" w:rsidP="00AB714C">
      <w:pPr>
        <w:spacing w:after="0"/>
      </w:pPr>
    </w:p>
    <w:p w14:paraId="5D74A1A0" w14:textId="77777777" w:rsidR="001829A3" w:rsidRDefault="001829A3" w:rsidP="00AB714C">
      <w:pPr>
        <w:spacing w:after="0"/>
      </w:pPr>
    </w:p>
    <w:tbl>
      <w:tblPr>
        <w:tblW w:w="5000" w:type="pct"/>
        <w:tblCellMar>
          <w:left w:w="70" w:type="dxa"/>
          <w:right w:w="70" w:type="dxa"/>
        </w:tblCellMar>
        <w:tblLook w:val="04A0" w:firstRow="1" w:lastRow="0" w:firstColumn="1" w:lastColumn="0" w:noHBand="0" w:noVBand="1"/>
      </w:tblPr>
      <w:tblGrid>
        <w:gridCol w:w="5650"/>
        <w:gridCol w:w="700"/>
        <w:gridCol w:w="700"/>
        <w:gridCol w:w="700"/>
        <w:gridCol w:w="700"/>
        <w:gridCol w:w="700"/>
      </w:tblGrid>
      <w:tr w:rsidR="001829A3" w:rsidRPr="002532D1" w14:paraId="6FB86404" w14:textId="77777777" w:rsidTr="00152911">
        <w:trPr>
          <w:trHeight w:val="600"/>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5E6971C8" w14:textId="77777777" w:rsidR="001829A3" w:rsidRPr="002532D1" w:rsidRDefault="001829A3" w:rsidP="00D135EE">
            <w:pPr>
              <w:spacing w:after="0" w:line="240" w:lineRule="auto"/>
              <w:jc w:val="center"/>
              <w:rPr>
                <w:rFonts w:asciiTheme="minorHAnsi" w:eastAsia="Times New Roman" w:hAnsiTheme="minorHAnsi" w:cs="Arial"/>
                <w:color w:val="FFFFFF"/>
                <w:sz w:val="16"/>
                <w:szCs w:val="16"/>
                <w:lang w:eastAsia="es-ES"/>
              </w:rPr>
            </w:pPr>
            <w:r w:rsidRPr="002532D1">
              <w:rPr>
                <w:rFonts w:asciiTheme="minorHAnsi" w:eastAsia="Times New Roman" w:hAnsiTheme="minorHAnsi" w:cs="Arial"/>
                <w:color w:val="FFFFFF"/>
                <w:sz w:val="16"/>
                <w:szCs w:val="16"/>
                <w:lang w:eastAsia="es-ES"/>
              </w:rPr>
              <w:t>INDICADOR</w:t>
            </w:r>
            <w:r w:rsidR="00AB5590" w:rsidRPr="002532D1">
              <w:rPr>
                <w:rFonts w:asciiTheme="minorHAnsi" w:eastAsia="Times New Roman" w:hAnsiTheme="minorHAnsi" w:cs="Arial"/>
                <w:color w:val="FFFFFF"/>
                <w:sz w:val="16"/>
                <w:szCs w:val="16"/>
                <w:lang w:eastAsia="es-ES"/>
              </w:rPr>
              <w:t xml:space="preserve"> (</w:t>
            </w:r>
            <w:r w:rsidRPr="002532D1">
              <w:rPr>
                <w:rFonts w:asciiTheme="minorHAnsi" w:eastAsia="Times New Roman" w:hAnsiTheme="minorHAnsi" w:cs="Arial"/>
                <w:color w:val="FFFFFF"/>
                <w:sz w:val="16"/>
                <w:szCs w:val="16"/>
                <w:lang w:eastAsia="es-ES"/>
              </w:rPr>
              <w:t>CENTRO)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0E3EECC3" w14:textId="77777777" w:rsidR="001829A3" w:rsidRPr="002532D1" w:rsidRDefault="001829A3" w:rsidP="00D135EE">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1F0DA5EC" w14:textId="77777777" w:rsidR="001829A3" w:rsidRPr="002532D1" w:rsidRDefault="001829A3" w:rsidP="00D135EE">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9A3013C" w14:textId="77777777" w:rsidR="001829A3" w:rsidRPr="002532D1" w:rsidRDefault="001829A3" w:rsidP="00D135EE">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2D7344F9" w14:textId="77777777" w:rsidR="001829A3" w:rsidRPr="002532D1" w:rsidRDefault="001829A3" w:rsidP="00D135EE">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3A29C6B2" w14:textId="77777777" w:rsidR="001829A3" w:rsidRPr="002532D1" w:rsidRDefault="001829A3" w:rsidP="00D135EE">
            <w:pPr>
              <w:spacing w:after="0" w:line="240" w:lineRule="auto"/>
              <w:jc w:val="center"/>
              <w:rPr>
                <w:rFonts w:asciiTheme="minorHAnsi" w:eastAsia="Times New Roman" w:hAnsiTheme="minorHAnsi"/>
                <w:color w:val="FFFFFF"/>
                <w:sz w:val="16"/>
                <w:szCs w:val="16"/>
                <w:lang w:eastAsia="es-ES"/>
              </w:rPr>
            </w:pPr>
            <w:r w:rsidRPr="002532D1">
              <w:rPr>
                <w:rFonts w:asciiTheme="minorHAnsi" w:eastAsia="Times New Roman" w:hAnsiTheme="minorHAnsi"/>
                <w:color w:val="FFFFFF"/>
                <w:sz w:val="16"/>
                <w:szCs w:val="16"/>
                <w:lang w:eastAsia="es-ES"/>
              </w:rPr>
              <w:t>2020-21</w:t>
            </w:r>
          </w:p>
        </w:tc>
      </w:tr>
      <w:tr w:rsidR="00152911" w:rsidRPr="002532D1" w14:paraId="68D975B8"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0FE1E6FD"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ISGC-P06-01: Tasa de adecuación del título</w:t>
            </w:r>
          </w:p>
        </w:tc>
        <w:tc>
          <w:tcPr>
            <w:tcW w:w="313" w:type="pct"/>
            <w:tcBorders>
              <w:top w:val="nil"/>
              <w:left w:val="nil"/>
              <w:bottom w:val="single" w:sz="4" w:space="0" w:color="000000"/>
              <w:right w:val="single" w:sz="4" w:space="0" w:color="000000"/>
            </w:tcBorders>
            <w:shd w:val="clear" w:color="auto" w:fill="auto"/>
            <w:hideMark/>
          </w:tcPr>
          <w:p w14:paraId="6867435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94,34%</w:t>
            </w:r>
          </w:p>
        </w:tc>
        <w:tc>
          <w:tcPr>
            <w:tcW w:w="313" w:type="pct"/>
            <w:tcBorders>
              <w:top w:val="nil"/>
              <w:left w:val="nil"/>
              <w:bottom w:val="single" w:sz="4" w:space="0" w:color="000000"/>
              <w:right w:val="single" w:sz="4" w:space="0" w:color="000000"/>
            </w:tcBorders>
            <w:shd w:val="clear" w:color="auto" w:fill="auto"/>
            <w:hideMark/>
          </w:tcPr>
          <w:p w14:paraId="5C901D4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83,78%</w:t>
            </w:r>
          </w:p>
        </w:tc>
        <w:tc>
          <w:tcPr>
            <w:tcW w:w="313" w:type="pct"/>
            <w:tcBorders>
              <w:top w:val="nil"/>
              <w:left w:val="nil"/>
              <w:bottom w:val="single" w:sz="4" w:space="0" w:color="000000"/>
              <w:right w:val="single" w:sz="4" w:space="0" w:color="000000"/>
            </w:tcBorders>
            <w:shd w:val="clear" w:color="auto" w:fill="auto"/>
            <w:hideMark/>
          </w:tcPr>
          <w:p w14:paraId="1FBF119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103,08%</w:t>
            </w:r>
          </w:p>
        </w:tc>
        <w:tc>
          <w:tcPr>
            <w:tcW w:w="313" w:type="pct"/>
            <w:tcBorders>
              <w:top w:val="nil"/>
              <w:left w:val="nil"/>
              <w:bottom w:val="single" w:sz="4" w:space="0" w:color="000000"/>
              <w:right w:val="single" w:sz="4" w:space="0" w:color="000000"/>
            </w:tcBorders>
            <w:shd w:val="clear" w:color="auto" w:fill="auto"/>
            <w:hideMark/>
          </w:tcPr>
          <w:p w14:paraId="0013AD6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98,95%</w:t>
            </w:r>
          </w:p>
        </w:tc>
        <w:tc>
          <w:tcPr>
            <w:tcW w:w="313" w:type="pct"/>
            <w:tcBorders>
              <w:top w:val="nil"/>
              <w:left w:val="nil"/>
              <w:bottom w:val="single" w:sz="4" w:space="0" w:color="000000"/>
              <w:right w:val="single" w:sz="4" w:space="0" w:color="000000"/>
            </w:tcBorders>
            <w:shd w:val="clear" w:color="auto" w:fill="auto"/>
            <w:hideMark/>
          </w:tcPr>
          <w:p w14:paraId="0DF0C59B"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97,75%</w:t>
            </w:r>
          </w:p>
        </w:tc>
      </w:tr>
      <w:tr w:rsidR="00152911" w:rsidRPr="002532D1" w14:paraId="010BF1FF"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7985F3FE"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ISGC-P06-02: Tasa de ocupación del título</w:t>
            </w:r>
          </w:p>
        </w:tc>
        <w:tc>
          <w:tcPr>
            <w:tcW w:w="313" w:type="pct"/>
            <w:tcBorders>
              <w:top w:val="nil"/>
              <w:left w:val="nil"/>
              <w:bottom w:val="single" w:sz="4" w:space="0" w:color="000000"/>
              <w:right w:val="single" w:sz="4" w:space="0" w:color="000000"/>
            </w:tcBorders>
            <w:shd w:val="clear" w:color="auto" w:fill="auto"/>
            <w:hideMark/>
          </w:tcPr>
          <w:p w14:paraId="22EE5155"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102,91%</w:t>
            </w:r>
          </w:p>
        </w:tc>
        <w:tc>
          <w:tcPr>
            <w:tcW w:w="313" w:type="pct"/>
            <w:tcBorders>
              <w:top w:val="nil"/>
              <w:left w:val="nil"/>
              <w:bottom w:val="single" w:sz="4" w:space="0" w:color="000000"/>
              <w:right w:val="single" w:sz="4" w:space="0" w:color="000000"/>
            </w:tcBorders>
            <w:shd w:val="clear" w:color="auto" w:fill="auto"/>
            <w:hideMark/>
          </w:tcPr>
          <w:p w14:paraId="2BB2FFA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95,27%</w:t>
            </w:r>
          </w:p>
        </w:tc>
        <w:tc>
          <w:tcPr>
            <w:tcW w:w="313" w:type="pct"/>
            <w:tcBorders>
              <w:top w:val="nil"/>
              <w:left w:val="nil"/>
              <w:bottom w:val="single" w:sz="4" w:space="0" w:color="000000"/>
              <w:right w:val="single" w:sz="4" w:space="0" w:color="000000"/>
            </w:tcBorders>
            <w:shd w:val="clear" w:color="auto" w:fill="auto"/>
            <w:hideMark/>
          </w:tcPr>
          <w:p w14:paraId="0D074281"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97,82%</w:t>
            </w:r>
          </w:p>
        </w:tc>
        <w:tc>
          <w:tcPr>
            <w:tcW w:w="313" w:type="pct"/>
            <w:tcBorders>
              <w:top w:val="nil"/>
              <w:left w:val="nil"/>
              <w:bottom w:val="single" w:sz="4" w:space="0" w:color="000000"/>
              <w:right w:val="single" w:sz="4" w:space="0" w:color="000000"/>
            </w:tcBorders>
            <w:shd w:val="clear" w:color="auto" w:fill="auto"/>
            <w:hideMark/>
          </w:tcPr>
          <w:p w14:paraId="6A8EFA3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96,73%</w:t>
            </w:r>
          </w:p>
        </w:tc>
        <w:tc>
          <w:tcPr>
            <w:tcW w:w="313" w:type="pct"/>
            <w:tcBorders>
              <w:top w:val="nil"/>
              <w:left w:val="nil"/>
              <w:bottom w:val="single" w:sz="4" w:space="0" w:color="000000"/>
              <w:right w:val="single" w:sz="4" w:space="0" w:color="000000"/>
            </w:tcBorders>
            <w:shd w:val="clear" w:color="auto" w:fill="auto"/>
            <w:hideMark/>
          </w:tcPr>
          <w:p w14:paraId="0A23234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59,33%</w:t>
            </w:r>
          </w:p>
        </w:tc>
      </w:tr>
      <w:tr w:rsidR="00152911" w:rsidRPr="002532D1" w14:paraId="3205E579"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424F6967"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ISGC-P06-03: Tasa de preferencia del título</w:t>
            </w:r>
          </w:p>
        </w:tc>
        <w:tc>
          <w:tcPr>
            <w:tcW w:w="313" w:type="pct"/>
            <w:tcBorders>
              <w:top w:val="nil"/>
              <w:left w:val="nil"/>
              <w:bottom w:val="single" w:sz="4" w:space="0" w:color="000000"/>
              <w:right w:val="single" w:sz="4" w:space="0" w:color="000000"/>
            </w:tcBorders>
            <w:shd w:val="clear" w:color="auto" w:fill="auto"/>
            <w:hideMark/>
          </w:tcPr>
          <w:p w14:paraId="7B8B5CD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141,09%</w:t>
            </w:r>
          </w:p>
        </w:tc>
        <w:tc>
          <w:tcPr>
            <w:tcW w:w="313" w:type="pct"/>
            <w:tcBorders>
              <w:top w:val="nil"/>
              <w:left w:val="nil"/>
              <w:bottom w:val="single" w:sz="4" w:space="0" w:color="000000"/>
              <w:right w:val="single" w:sz="4" w:space="0" w:color="000000"/>
            </w:tcBorders>
            <w:shd w:val="clear" w:color="auto" w:fill="auto"/>
            <w:hideMark/>
          </w:tcPr>
          <w:p w14:paraId="2C76D51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117,45%</w:t>
            </w:r>
          </w:p>
        </w:tc>
        <w:tc>
          <w:tcPr>
            <w:tcW w:w="313" w:type="pct"/>
            <w:tcBorders>
              <w:top w:val="nil"/>
              <w:left w:val="nil"/>
              <w:bottom w:val="single" w:sz="4" w:space="0" w:color="000000"/>
              <w:right w:val="single" w:sz="4" w:space="0" w:color="000000"/>
            </w:tcBorders>
            <w:shd w:val="clear" w:color="auto" w:fill="auto"/>
            <w:hideMark/>
          </w:tcPr>
          <w:p w14:paraId="65DAAE5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113,45%</w:t>
            </w:r>
          </w:p>
        </w:tc>
        <w:tc>
          <w:tcPr>
            <w:tcW w:w="313" w:type="pct"/>
            <w:tcBorders>
              <w:top w:val="nil"/>
              <w:left w:val="nil"/>
              <w:bottom w:val="single" w:sz="4" w:space="0" w:color="000000"/>
              <w:right w:val="single" w:sz="4" w:space="0" w:color="000000"/>
            </w:tcBorders>
            <w:shd w:val="clear" w:color="auto" w:fill="auto"/>
            <w:hideMark/>
          </w:tcPr>
          <w:p w14:paraId="115F6CF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134,55%</w:t>
            </w:r>
          </w:p>
        </w:tc>
        <w:tc>
          <w:tcPr>
            <w:tcW w:w="313" w:type="pct"/>
            <w:tcBorders>
              <w:top w:val="nil"/>
              <w:left w:val="nil"/>
              <w:bottom w:val="single" w:sz="4" w:space="0" w:color="000000"/>
              <w:right w:val="single" w:sz="4" w:space="0" w:color="000000"/>
            </w:tcBorders>
            <w:shd w:val="clear" w:color="auto" w:fill="auto"/>
            <w:hideMark/>
          </w:tcPr>
          <w:p w14:paraId="14E50BE4"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101,33%</w:t>
            </w:r>
          </w:p>
        </w:tc>
      </w:tr>
      <w:tr w:rsidR="00152911" w:rsidRPr="002532D1" w14:paraId="5E63076C"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27411CEA"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ISGC-P06-04: Tasa de renovación del título</w:t>
            </w:r>
          </w:p>
        </w:tc>
        <w:tc>
          <w:tcPr>
            <w:tcW w:w="313" w:type="pct"/>
            <w:tcBorders>
              <w:top w:val="nil"/>
              <w:left w:val="nil"/>
              <w:bottom w:val="single" w:sz="4" w:space="0" w:color="000000"/>
              <w:right w:val="single" w:sz="4" w:space="0" w:color="000000"/>
            </w:tcBorders>
            <w:shd w:val="clear" w:color="auto" w:fill="auto"/>
            <w:hideMark/>
          </w:tcPr>
          <w:p w14:paraId="07FEFB34"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27,95%</w:t>
            </w:r>
          </w:p>
        </w:tc>
        <w:tc>
          <w:tcPr>
            <w:tcW w:w="313" w:type="pct"/>
            <w:tcBorders>
              <w:top w:val="nil"/>
              <w:left w:val="nil"/>
              <w:bottom w:val="single" w:sz="4" w:space="0" w:color="000000"/>
              <w:right w:val="single" w:sz="4" w:space="0" w:color="000000"/>
            </w:tcBorders>
            <w:shd w:val="clear" w:color="auto" w:fill="auto"/>
            <w:hideMark/>
          </w:tcPr>
          <w:p w14:paraId="5BF7A43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24,9%</w:t>
            </w:r>
          </w:p>
        </w:tc>
        <w:tc>
          <w:tcPr>
            <w:tcW w:w="313" w:type="pct"/>
            <w:tcBorders>
              <w:top w:val="nil"/>
              <w:left w:val="nil"/>
              <w:bottom w:val="single" w:sz="4" w:space="0" w:color="000000"/>
              <w:right w:val="single" w:sz="4" w:space="0" w:color="000000"/>
            </w:tcBorders>
            <w:shd w:val="clear" w:color="auto" w:fill="auto"/>
            <w:hideMark/>
          </w:tcPr>
          <w:p w14:paraId="4664109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24,64%</w:t>
            </w:r>
          </w:p>
        </w:tc>
        <w:tc>
          <w:tcPr>
            <w:tcW w:w="313" w:type="pct"/>
            <w:tcBorders>
              <w:top w:val="nil"/>
              <w:left w:val="nil"/>
              <w:bottom w:val="single" w:sz="4" w:space="0" w:color="000000"/>
              <w:right w:val="single" w:sz="4" w:space="0" w:color="000000"/>
            </w:tcBorders>
            <w:shd w:val="clear" w:color="auto" w:fill="auto"/>
            <w:hideMark/>
          </w:tcPr>
          <w:p w14:paraId="07DD9B05"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23,56%</w:t>
            </w:r>
          </w:p>
        </w:tc>
        <w:tc>
          <w:tcPr>
            <w:tcW w:w="313" w:type="pct"/>
            <w:tcBorders>
              <w:top w:val="nil"/>
              <w:left w:val="nil"/>
              <w:bottom w:val="single" w:sz="4" w:space="0" w:color="000000"/>
              <w:right w:val="single" w:sz="4" w:space="0" w:color="000000"/>
            </w:tcBorders>
            <w:shd w:val="clear" w:color="auto" w:fill="auto"/>
            <w:hideMark/>
          </w:tcPr>
          <w:p w14:paraId="5B90D5B2"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72,36%</w:t>
            </w:r>
          </w:p>
        </w:tc>
      </w:tr>
      <w:tr w:rsidR="00152911" w:rsidRPr="002532D1" w14:paraId="6F13BB4D" w14:textId="77777777" w:rsidTr="00152911">
        <w:trPr>
          <w:trHeight w:val="528"/>
        </w:trPr>
        <w:tc>
          <w:tcPr>
            <w:tcW w:w="3434" w:type="pct"/>
            <w:tcBorders>
              <w:top w:val="nil"/>
              <w:left w:val="nil"/>
              <w:bottom w:val="single" w:sz="4" w:space="0" w:color="000000"/>
              <w:right w:val="single" w:sz="4" w:space="0" w:color="000000"/>
            </w:tcBorders>
            <w:shd w:val="clear" w:color="000000" w:fill="CCCCCC"/>
            <w:vAlign w:val="center"/>
            <w:hideMark/>
          </w:tcPr>
          <w:p w14:paraId="18209A72"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313" w:type="pct"/>
            <w:tcBorders>
              <w:top w:val="nil"/>
              <w:left w:val="nil"/>
              <w:bottom w:val="single" w:sz="4" w:space="0" w:color="000000"/>
              <w:right w:val="single" w:sz="4" w:space="0" w:color="000000"/>
            </w:tcBorders>
            <w:shd w:val="clear" w:color="auto" w:fill="auto"/>
            <w:hideMark/>
          </w:tcPr>
          <w:p w14:paraId="35D1C395"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3,19</w:t>
            </w:r>
          </w:p>
        </w:tc>
        <w:tc>
          <w:tcPr>
            <w:tcW w:w="313" w:type="pct"/>
            <w:tcBorders>
              <w:top w:val="nil"/>
              <w:left w:val="nil"/>
              <w:bottom w:val="single" w:sz="4" w:space="0" w:color="000000"/>
              <w:right w:val="single" w:sz="4" w:space="0" w:color="000000"/>
            </w:tcBorders>
            <w:shd w:val="clear" w:color="auto" w:fill="auto"/>
            <w:hideMark/>
          </w:tcPr>
          <w:p w14:paraId="4B48FF7F"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3,42</w:t>
            </w:r>
          </w:p>
        </w:tc>
        <w:tc>
          <w:tcPr>
            <w:tcW w:w="313" w:type="pct"/>
            <w:tcBorders>
              <w:top w:val="nil"/>
              <w:left w:val="nil"/>
              <w:bottom w:val="single" w:sz="4" w:space="0" w:color="000000"/>
              <w:right w:val="single" w:sz="4" w:space="0" w:color="000000"/>
            </w:tcBorders>
            <w:shd w:val="clear" w:color="auto" w:fill="auto"/>
            <w:hideMark/>
          </w:tcPr>
          <w:p w14:paraId="4A7E9935"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2,63</w:t>
            </w:r>
          </w:p>
        </w:tc>
        <w:tc>
          <w:tcPr>
            <w:tcW w:w="313" w:type="pct"/>
            <w:tcBorders>
              <w:top w:val="nil"/>
              <w:left w:val="nil"/>
              <w:bottom w:val="single" w:sz="4" w:space="0" w:color="000000"/>
              <w:right w:val="single" w:sz="4" w:space="0" w:color="000000"/>
            </w:tcBorders>
            <w:shd w:val="clear" w:color="auto" w:fill="auto"/>
            <w:hideMark/>
          </w:tcPr>
          <w:p w14:paraId="75C85992"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13" w:type="pct"/>
            <w:tcBorders>
              <w:top w:val="nil"/>
              <w:left w:val="nil"/>
              <w:bottom w:val="single" w:sz="4" w:space="0" w:color="000000"/>
              <w:right w:val="single" w:sz="4" w:space="0" w:color="000000"/>
            </w:tcBorders>
            <w:shd w:val="clear" w:color="auto" w:fill="auto"/>
            <w:hideMark/>
          </w:tcPr>
          <w:p w14:paraId="222135A5"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3,42</w:t>
            </w:r>
          </w:p>
        </w:tc>
      </w:tr>
      <w:tr w:rsidR="00152911" w:rsidRPr="002532D1" w14:paraId="613535C5"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63057A4C"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313" w:type="pct"/>
            <w:tcBorders>
              <w:top w:val="nil"/>
              <w:left w:val="nil"/>
              <w:bottom w:val="single" w:sz="4" w:space="0" w:color="000000"/>
              <w:right w:val="single" w:sz="4" w:space="0" w:color="000000"/>
            </w:tcBorders>
            <w:shd w:val="clear" w:color="auto" w:fill="auto"/>
            <w:hideMark/>
          </w:tcPr>
          <w:p w14:paraId="6431A33A"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2,72</w:t>
            </w:r>
          </w:p>
        </w:tc>
        <w:tc>
          <w:tcPr>
            <w:tcW w:w="313" w:type="pct"/>
            <w:tcBorders>
              <w:top w:val="nil"/>
              <w:left w:val="nil"/>
              <w:bottom w:val="single" w:sz="4" w:space="0" w:color="000000"/>
              <w:right w:val="single" w:sz="4" w:space="0" w:color="000000"/>
            </w:tcBorders>
            <w:shd w:val="clear" w:color="auto" w:fill="auto"/>
            <w:hideMark/>
          </w:tcPr>
          <w:p w14:paraId="5F4FDE4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2,28</w:t>
            </w:r>
          </w:p>
        </w:tc>
        <w:tc>
          <w:tcPr>
            <w:tcW w:w="313" w:type="pct"/>
            <w:tcBorders>
              <w:top w:val="nil"/>
              <w:left w:val="nil"/>
              <w:bottom w:val="single" w:sz="4" w:space="0" w:color="000000"/>
              <w:right w:val="single" w:sz="4" w:space="0" w:color="000000"/>
            </w:tcBorders>
            <w:shd w:val="clear" w:color="auto" w:fill="auto"/>
            <w:hideMark/>
          </w:tcPr>
          <w:p w14:paraId="1610484E"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2,69</w:t>
            </w:r>
          </w:p>
        </w:tc>
        <w:tc>
          <w:tcPr>
            <w:tcW w:w="313" w:type="pct"/>
            <w:tcBorders>
              <w:top w:val="nil"/>
              <w:left w:val="nil"/>
              <w:bottom w:val="single" w:sz="4" w:space="0" w:color="000000"/>
              <w:right w:val="single" w:sz="4" w:space="0" w:color="000000"/>
            </w:tcBorders>
            <w:shd w:val="clear" w:color="auto" w:fill="auto"/>
            <w:hideMark/>
          </w:tcPr>
          <w:p w14:paraId="09B29661"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13" w:type="pct"/>
            <w:tcBorders>
              <w:top w:val="nil"/>
              <w:left w:val="nil"/>
              <w:bottom w:val="single" w:sz="4" w:space="0" w:color="000000"/>
              <w:right w:val="single" w:sz="4" w:space="0" w:color="000000"/>
            </w:tcBorders>
            <w:shd w:val="clear" w:color="auto" w:fill="auto"/>
            <w:hideMark/>
          </w:tcPr>
          <w:p w14:paraId="233FCA0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3,04</w:t>
            </w:r>
          </w:p>
        </w:tc>
      </w:tr>
      <w:tr w:rsidR="00152911" w:rsidRPr="002532D1" w14:paraId="5B4FB845"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515CA341"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313" w:type="pct"/>
            <w:tcBorders>
              <w:top w:val="nil"/>
              <w:left w:val="nil"/>
              <w:bottom w:val="single" w:sz="4" w:space="0" w:color="000000"/>
              <w:right w:val="single" w:sz="4" w:space="0" w:color="000000"/>
            </w:tcBorders>
            <w:shd w:val="clear" w:color="auto" w:fill="auto"/>
            <w:hideMark/>
          </w:tcPr>
          <w:p w14:paraId="69EFC289"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3,56</w:t>
            </w:r>
          </w:p>
        </w:tc>
        <w:tc>
          <w:tcPr>
            <w:tcW w:w="313" w:type="pct"/>
            <w:tcBorders>
              <w:top w:val="nil"/>
              <w:left w:val="nil"/>
              <w:bottom w:val="single" w:sz="4" w:space="0" w:color="000000"/>
              <w:right w:val="single" w:sz="4" w:space="0" w:color="000000"/>
            </w:tcBorders>
            <w:shd w:val="clear" w:color="auto" w:fill="auto"/>
            <w:hideMark/>
          </w:tcPr>
          <w:p w14:paraId="2E06FE6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3,64</w:t>
            </w:r>
          </w:p>
        </w:tc>
        <w:tc>
          <w:tcPr>
            <w:tcW w:w="313" w:type="pct"/>
            <w:tcBorders>
              <w:top w:val="nil"/>
              <w:left w:val="nil"/>
              <w:bottom w:val="single" w:sz="4" w:space="0" w:color="000000"/>
              <w:right w:val="single" w:sz="4" w:space="0" w:color="000000"/>
            </w:tcBorders>
            <w:shd w:val="clear" w:color="auto" w:fill="auto"/>
            <w:hideMark/>
          </w:tcPr>
          <w:p w14:paraId="5D598556"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3,6</w:t>
            </w:r>
          </w:p>
        </w:tc>
        <w:tc>
          <w:tcPr>
            <w:tcW w:w="313" w:type="pct"/>
            <w:tcBorders>
              <w:top w:val="nil"/>
              <w:left w:val="nil"/>
              <w:bottom w:val="single" w:sz="4" w:space="0" w:color="000000"/>
              <w:right w:val="single" w:sz="4" w:space="0" w:color="000000"/>
            </w:tcBorders>
            <w:shd w:val="clear" w:color="auto" w:fill="auto"/>
            <w:hideMark/>
          </w:tcPr>
          <w:p w14:paraId="4E5D13A0"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13" w:type="pct"/>
            <w:tcBorders>
              <w:top w:val="nil"/>
              <w:left w:val="nil"/>
              <w:bottom w:val="single" w:sz="4" w:space="0" w:color="000000"/>
              <w:right w:val="single" w:sz="4" w:space="0" w:color="000000"/>
            </w:tcBorders>
            <w:shd w:val="clear" w:color="auto" w:fill="auto"/>
            <w:hideMark/>
          </w:tcPr>
          <w:p w14:paraId="63C6C3BB"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3,9</w:t>
            </w:r>
          </w:p>
        </w:tc>
      </w:tr>
      <w:tr w:rsidR="00152911" w:rsidRPr="002532D1" w14:paraId="671AC81C" w14:textId="77777777" w:rsidTr="00152911">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C5D1904" w14:textId="77777777" w:rsidR="00152911" w:rsidRPr="002532D1" w:rsidRDefault="00152911" w:rsidP="00152911">
            <w:pPr>
              <w:spacing w:after="0" w:line="240" w:lineRule="auto"/>
              <w:rPr>
                <w:rFonts w:asciiTheme="minorHAnsi" w:eastAsia="Times New Roman" w:hAnsiTheme="minorHAnsi" w:cs="Arial"/>
                <w:b/>
                <w:bCs/>
                <w:color w:val="000000"/>
                <w:sz w:val="16"/>
                <w:szCs w:val="16"/>
                <w:lang w:eastAsia="es-ES"/>
              </w:rPr>
            </w:pPr>
            <w:r w:rsidRPr="002532D1">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313" w:type="pct"/>
            <w:tcBorders>
              <w:top w:val="nil"/>
              <w:left w:val="nil"/>
              <w:bottom w:val="single" w:sz="4" w:space="0" w:color="000000"/>
              <w:right w:val="single" w:sz="4" w:space="0" w:color="000000"/>
            </w:tcBorders>
            <w:shd w:val="clear" w:color="auto" w:fill="auto"/>
            <w:hideMark/>
          </w:tcPr>
          <w:p w14:paraId="3A958226"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4,08</w:t>
            </w:r>
          </w:p>
        </w:tc>
        <w:tc>
          <w:tcPr>
            <w:tcW w:w="313" w:type="pct"/>
            <w:tcBorders>
              <w:top w:val="nil"/>
              <w:left w:val="nil"/>
              <w:bottom w:val="single" w:sz="4" w:space="0" w:color="000000"/>
              <w:right w:val="single" w:sz="4" w:space="0" w:color="000000"/>
            </w:tcBorders>
            <w:shd w:val="clear" w:color="auto" w:fill="auto"/>
            <w:hideMark/>
          </w:tcPr>
          <w:p w14:paraId="14AEC187"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4,19</w:t>
            </w:r>
          </w:p>
        </w:tc>
        <w:tc>
          <w:tcPr>
            <w:tcW w:w="313" w:type="pct"/>
            <w:tcBorders>
              <w:top w:val="nil"/>
              <w:left w:val="nil"/>
              <w:bottom w:val="single" w:sz="4" w:space="0" w:color="000000"/>
              <w:right w:val="single" w:sz="4" w:space="0" w:color="000000"/>
            </w:tcBorders>
            <w:shd w:val="clear" w:color="auto" w:fill="auto"/>
            <w:hideMark/>
          </w:tcPr>
          <w:p w14:paraId="0F4303BB"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4,2</w:t>
            </w:r>
          </w:p>
        </w:tc>
        <w:tc>
          <w:tcPr>
            <w:tcW w:w="313" w:type="pct"/>
            <w:tcBorders>
              <w:top w:val="nil"/>
              <w:left w:val="nil"/>
              <w:bottom w:val="single" w:sz="4" w:space="0" w:color="000000"/>
              <w:right w:val="single" w:sz="4" w:space="0" w:color="000000"/>
            </w:tcBorders>
            <w:shd w:val="clear" w:color="auto" w:fill="auto"/>
            <w:hideMark/>
          </w:tcPr>
          <w:p w14:paraId="18F2CC71"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13" w:type="pct"/>
            <w:tcBorders>
              <w:top w:val="nil"/>
              <w:left w:val="nil"/>
              <w:bottom w:val="single" w:sz="4" w:space="0" w:color="000000"/>
              <w:right w:val="single" w:sz="4" w:space="0" w:color="000000"/>
            </w:tcBorders>
            <w:shd w:val="clear" w:color="auto" w:fill="auto"/>
            <w:hideMark/>
          </w:tcPr>
          <w:p w14:paraId="3599C4AC" w14:textId="77777777" w:rsidR="00152911" w:rsidRPr="002532D1" w:rsidRDefault="00152911" w:rsidP="00152911">
            <w:pPr>
              <w:spacing w:after="0" w:line="240" w:lineRule="auto"/>
              <w:jc w:val="center"/>
              <w:rPr>
                <w:rFonts w:asciiTheme="minorHAnsi" w:eastAsia="Times New Roman" w:hAnsiTheme="minorHAnsi"/>
                <w:color w:val="000000"/>
                <w:sz w:val="16"/>
                <w:szCs w:val="16"/>
                <w:lang w:eastAsia="es-ES"/>
              </w:rPr>
            </w:pPr>
            <w:r w:rsidRPr="00AE14B1">
              <w:rPr>
                <w:sz w:val="16"/>
                <w:szCs w:val="16"/>
              </w:rPr>
              <w:t>4,4</w:t>
            </w:r>
          </w:p>
        </w:tc>
      </w:tr>
    </w:tbl>
    <w:p w14:paraId="097BBAE8" w14:textId="77777777" w:rsidR="001829A3" w:rsidRDefault="001829A3" w:rsidP="00AB714C">
      <w:pPr>
        <w:spacing w:after="0"/>
      </w:pPr>
    </w:p>
    <w:p w14:paraId="6ABE1CDD" w14:textId="77777777" w:rsidR="001829A3" w:rsidRDefault="001829A3" w:rsidP="00AB714C">
      <w:pPr>
        <w:spacing w:after="0"/>
      </w:pPr>
    </w:p>
    <w:p w14:paraId="19341614"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El máster en Agroalimentación se imparte </w:t>
      </w:r>
      <w:r w:rsidR="00F30BA9">
        <w:rPr>
          <w:color w:val="000000" w:themeColor="text1"/>
          <w:sz w:val="20"/>
          <w:szCs w:val="20"/>
        </w:rPr>
        <w:t xml:space="preserve">de forma presencial </w:t>
      </w:r>
      <w:r w:rsidRPr="00C06D8E">
        <w:rPr>
          <w:color w:val="000000" w:themeColor="text1"/>
          <w:sz w:val="20"/>
          <w:szCs w:val="20"/>
        </w:rPr>
        <w:t xml:space="preserve">en </w:t>
      </w:r>
      <w:r w:rsidR="00D44B1F">
        <w:rPr>
          <w:color w:val="000000" w:themeColor="text1"/>
          <w:sz w:val="20"/>
          <w:szCs w:val="20"/>
        </w:rPr>
        <w:t xml:space="preserve">las </w:t>
      </w:r>
      <w:r w:rsidRPr="00C06D8E">
        <w:rPr>
          <w:color w:val="000000" w:themeColor="text1"/>
          <w:sz w:val="20"/>
          <w:szCs w:val="20"/>
        </w:rPr>
        <w:t xml:space="preserve">dos Universidades, </w:t>
      </w:r>
      <w:r w:rsidR="00D44B1F">
        <w:rPr>
          <w:color w:val="000000" w:themeColor="text1"/>
          <w:sz w:val="20"/>
          <w:szCs w:val="20"/>
        </w:rPr>
        <w:t>haciendo uso de la modalidad presencial síncrona cuando los profesores imparten la docencia compartida para los alumnos de las dos universidades. A</w:t>
      </w:r>
      <w:r w:rsidRPr="00C06D8E">
        <w:rPr>
          <w:color w:val="000000" w:themeColor="text1"/>
          <w:sz w:val="20"/>
          <w:szCs w:val="20"/>
        </w:rPr>
        <w:t xml:space="preserve"> </w:t>
      </w:r>
      <w:r w:rsidR="00D44B1F" w:rsidRPr="00C06D8E">
        <w:rPr>
          <w:color w:val="000000" w:themeColor="text1"/>
          <w:sz w:val="20"/>
          <w:szCs w:val="20"/>
        </w:rPr>
        <w:t>continuación,</w:t>
      </w:r>
      <w:r w:rsidRPr="00C06D8E">
        <w:rPr>
          <w:color w:val="000000" w:themeColor="text1"/>
          <w:sz w:val="20"/>
          <w:szCs w:val="20"/>
        </w:rPr>
        <w:t xml:space="preserve"> se detalla la información de </w:t>
      </w:r>
      <w:r w:rsidR="00F30BA9">
        <w:rPr>
          <w:color w:val="000000" w:themeColor="text1"/>
          <w:sz w:val="20"/>
          <w:szCs w:val="20"/>
        </w:rPr>
        <w:t>la Universidad de Cádiz</w:t>
      </w:r>
      <w:r>
        <w:rPr>
          <w:color w:val="000000" w:themeColor="text1"/>
          <w:sz w:val="20"/>
          <w:szCs w:val="20"/>
        </w:rPr>
        <w:t>.</w:t>
      </w:r>
    </w:p>
    <w:p w14:paraId="7E3FB383" w14:textId="77777777" w:rsidR="00C06D8E" w:rsidRDefault="00C06D8E" w:rsidP="00AE14B1">
      <w:pPr>
        <w:spacing w:after="0" w:line="240" w:lineRule="auto"/>
        <w:jc w:val="both"/>
        <w:rPr>
          <w:color w:val="4F81BD" w:themeColor="accent1"/>
          <w:sz w:val="16"/>
        </w:rPr>
      </w:pPr>
      <w:r>
        <w:rPr>
          <w:color w:val="4F81BD" w:themeColor="accent1"/>
          <w:sz w:val="16"/>
        </w:rPr>
        <w:t xml:space="preserve"> </w:t>
      </w:r>
    </w:p>
    <w:p w14:paraId="6CD695E8" w14:textId="77777777" w:rsidR="00C06D8E" w:rsidRPr="00C06D8E" w:rsidRDefault="00C06D8E" w:rsidP="00AE14B1">
      <w:pPr>
        <w:spacing w:after="0" w:line="240" w:lineRule="auto"/>
        <w:jc w:val="both"/>
        <w:rPr>
          <w:b/>
          <w:color w:val="000000" w:themeColor="text1"/>
          <w:sz w:val="20"/>
          <w:szCs w:val="20"/>
        </w:rPr>
      </w:pPr>
      <w:r w:rsidRPr="00C06D8E">
        <w:rPr>
          <w:b/>
          <w:color w:val="000000" w:themeColor="text1"/>
          <w:sz w:val="20"/>
          <w:szCs w:val="20"/>
        </w:rPr>
        <w:t>1.- Descripción de la infraestructura del Centro UCA.</w:t>
      </w:r>
    </w:p>
    <w:p w14:paraId="7F41E614"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El </w:t>
      </w:r>
      <w:r>
        <w:rPr>
          <w:color w:val="000000" w:themeColor="text1"/>
          <w:sz w:val="20"/>
          <w:szCs w:val="20"/>
        </w:rPr>
        <w:t>Má</w:t>
      </w:r>
      <w:r w:rsidRPr="00C06D8E">
        <w:rPr>
          <w:color w:val="000000" w:themeColor="text1"/>
          <w:sz w:val="20"/>
          <w:szCs w:val="20"/>
        </w:rPr>
        <w:t xml:space="preserve">ster en </w:t>
      </w:r>
      <w:r>
        <w:rPr>
          <w:color w:val="000000" w:themeColor="text1"/>
          <w:sz w:val="20"/>
          <w:szCs w:val="20"/>
        </w:rPr>
        <w:t>Agroalimentación</w:t>
      </w:r>
      <w:r w:rsidRPr="00C06D8E">
        <w:rPr>
          <w:color w:val="000000" w:themeColor="text1"/>
          <w:sz w:val="20"/>
          <w:szCs w:val="20"/>
        </w:rPr>
        <w:t xml:space="preserve"> se desarrolla en la Facultad de Ciencias. El equipamiento básico de la Facultad puede encontrarse recogido en </w:t>
      </w:r>
      <w:r>
        <w:rPr>
          <w:color w:val="000000" w:themeColor="text1"/>
          <w:sz w:val="20"/>
          <w:szCs w:val="20"/>
        </w:rPr>
        <w:t>la memoria verificada del Má</w:t>
      </w:r>
      <w:r w:rsidRPr="00C06D8E">
        <w:rPr>
          <w:color w:val="000000" w:themeColor="text1"/>
          <w:sz w:val="20"/>
          <w:szCs w:val="20"/>
        </w:rPr>
        <w:t xml:space="preserve">ster, pero durante los últimos años, la Facultad de Ciencias ha estado ampliando y mejorando de forma constante los recursos materiales y servicios disponibles para profesores, personal de administración y servicios y alumnado. Gracias a esta actividad de mejora constante y del gran esfuerzo que se realiza desde la Facultad, se han ampliado los espacios disponibles y se ha remodelado gran </w:t>
      </w:r>
      <w:r w:rsidRPr="00C06D8E">
        <w:rPr>
          <w:color w:val="000000" w:themeColor="text1"/>
          <w:sz w:val="20"/>
          <w:szCs w:val="20"/>
        </w:rPr>
        <w:lastRenderedPageBreak/>
        <w:t>cantidad de los que ya existían. Se han aumentado el número de aulas para la docencia teórica, el número de aulas de informática y de laboratorios de prácticas. Sobre algunas de estas aulas se han realizado reformas de elementos estáticos para mejorar tanto la eficiencia energética y acústica, al igual que un progresivo reemplazo de bancas/sillas y mesas de para una respuesta eficiente a las necesidades de capacidad y ergonomía de los alumnos.</w:t>
      </w:r>
    </w:p>
    <w:p w14:paraId="1E2496C3" w14:textId="77777777" w:rsidR="00C06D8E" w:rsidRPr="00C06D8E" w:rsidRDefault="00C06D8E" w:rsidP="00AE14B1">
      <w:pPr>
        <w:spacing w:after="0" w:line="240" w:lineRule="auto"/>
        <w:jc w:val="both"/>
        <w:rPr>
          <w:color w:val="000000" w:themeColor="text1"/>
          <w:sz w:val="20"/>
          <w:szCs w:val="20"/>
        </w:rPr>
      </w:pPr>
    </w:p>
    <w:p w14:paraId="7CB8764D"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La Facultad de Ciencias cuenta con 17 aulas y 2 seminarios de los tamaños adecuados para desarrollar las diversas metodologías de enseñanza‐aprendizaje, desde el método expositivo clásico dirigido a la totalidad del grupo hasta las tutorías y seminarios en grupos reducidos, con una capacidad entre 14 y 182 puestos. Además, se cuenta con 4 aulas con equipamiento informático para trabajo individual dirigido (30 puestos), 1 aula de informática “móvil” con 15 ordenadores portátiles, 1 aula de proyectos (32 puestos), 2 Salas de Grados (56 y 82 puestos), una Sala de Estudios, un Salón de Actos (330 puestos) y una Sala de Juntas. Además, cuenta con 2 laboratorios y 7 aulas de diferentes capacidades en el Centro Superior de Estudios Marinos (CASEM) y los Aularios de uso común del Campus de Puerto Real, respectivamente. </w:t>
      </w:r>
    </w:p>
    <w:p w14:paraId="4B9F6268" w14:textId="77777777" w:rsidR="00C06D8E" w:rsidRPr="00C06D8E" w:rsidRDefault="00C06D8E" w:rsidP="00AE14B1">
      <w:pPr>
        <w:spacing w:after="0" w:line="240" w:lineRule="auto"/>
        <w:jc w:val="both"/>
        <w:rPr>
          <w:color w:val="000000" w:themeColor="text1"/>
          <w:sz w:val="20"/>
          <w:szCs w:val="20"/>
        </w:rPr>
      </w:pPr>
    </w:p>
    <w:p w14:paraId="3C8F0221"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En relación a las aulas, éstas cuentan con un con sistema multimedia compuesto por ordenador personal con conexión a Internet y salida al sistema de proyección fijo del aula, sistema de sonido con amplificador y micrófono inalámbrico, proyector, pantalla de proyección y pizarra, además de dispositivos de audio/video necesarios para poder llevar a cabo teledocencia que incluyen cámaras web y tarjetas gráficas con lápices digitales. Asimismo, la Facultad de Ciencias dispone de 10 laboratorios y una Planta Piloto dedicados a la docencia práctica, dotados de material básico y avanzado, según el nivel del curso, y de técnicas e instrumentación específicas. En tres laboratorios (FC-Lab4, FC-Lab5 y FC-Lab7) se han instalado pantallas de TV de grandes dimensiones (75”), conectados a unidades de PCs con conexión a internet para la visualización de material docente y/o acceso a herramientas electrónicas específicas de </w:t>
      </w:r>
      <w:r>
        <w:rPr>
          <w:color w:val="000000" w:themeColor="text1"/>
          <w:sz w:val="20"/>
          <w:szCs w:val="20"/>
        </w:rPr>
        <w:t>material relacionado con las prá</w:t>
      </w:r>
      <w:r w:rsidRPr="00C06D8E">
        <w:rPr>
          <w:color w:val="000000" w:themeColor="text1"/>
          <w:sz w:val="20"/>
          <w:szCs w:val="20"/>
        </w:rPr>
        <w:t>cticas de laboratorio. Alternativamente, el Centro ofrece equipos portátiles de proyección disponibles en Conserjería. Por otro lado, parte de las actividades de formación que realizan los alumnos se desarrollan en las dependencias de los propios Departamentos y otros centros del Campus o Universidad.</w:t>
      </w:r>
    </w:p>
    <w:p w14:paraId="5551775D" w14:textId="77777777" w:rsidR="00C06D8E" w:rsidRPr="00C06D8E" w:rsidRDefault="00C06D8E" w:rsidP="00AE14B1">
      <w:pPr>
        <w:spacing w:after="0" w:line="240" w:lineRule="auto"/>
        <w:jc w:val="both"/>
        <w:rPr>
          <w:color w:val="000000" w:themeColor="text1"/>
          <w:sz w:val="20"/>
          <w:szCs w:val="20"/>
        </w:rPr>
      </w:pPr>
    </w:p>
    <w:p w14:paraId="315D20A6"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programa formativo, así como de las actividades previstas en éste. Además, se dispone de una aplicación sobre gestión de los horarios on‐line alojada en la web de la Facultad, que permite reflejar al momento cualquier cambio circunstancial que se produzca en la planificación del título (</w:t>
      </w:r>
      <w:hyperlink r:id="rId29" w:history="1">
        <w:r w:rsidRPr="00C06D8E">
          <w:rPr>
            <w:rStyle w:val="Hipervnculo"/>
            <w:sz w:val="20"/>
            <w:szCs w:val="20"/>
          </w:rPr>
          <w:t>https://bit.ly/2OsUBRE</w:t>
        </w:r>
      </w:hyperlink>
      <w:r w:rsidRPr="00C06D8E">
        <w:rPr>
          <w:color w:val="000000" w:themeColor="text1"/>
          <w:sz w:val="20"/>
          <w:szCs w:val="20"/>
        </w:rPr>
        <w:t xml:space="preserve">). </w:t>
      </w:r>
    </w:p>
    <w:p w14:paraId="5CBA4F6D" w14:textId="77777777" w:rsidR="00C06D8E" w:rsidRPr="00C06D8E" w:rsidRDefault="00C06D8E" w:rsidP="00AE14B1">
      <w:pPr>
        <w:spacing w:after="0" w:line="240" w:lineRule="auto"/>
        <w:jc w:val="both"/>
        <w:rPr>
          <w:color w:val="000000" w:themeColor="text1"/>
          <w:sz w:val="20"/>
          <w:szCs w:val="20"/>
        </w:rPr>
      </w:pPr>
    </w:p>
    <w:p w14:paraId="7286019B"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En el caso concreto de las instalaciones utilizad</w:t>
      </w:r>
      <w:r>
        <w:rPr>
          <w:color w:val="000000" w:themeColor="text1"/>
          <w:sz w:val="20"/>
          <w:szCs w:val="20"/>
        </w:rPr>
        <w:t>as para el desarrollo del Má</w:t>
      </w:r>
      <w:r w:rsidRPr="00C06D8E">
        <w:rPr>
          <w:color w:val="000000" w:themeColor="text1"/>
          <w:sz w:val="20"/>
          <w:szCs w:val="20"/>
        </w:rPr>
        <w:t xml:space="preserve">ster en </w:t>
      </w:r>
      <w:r>
        <w:rPr>
          <w:color w:val="000000" w:themeColor="text1"/>
          <w:sz w:val="20"/>
          <w:szCs w:val="20"/>
        </w:rPr>
        <w:t>Agroalimentación</w:t>
      </w:r>
      <w:r w:rsidRPr="00C06D8E">
        <w:rPr>
          <w:color w:val="000000" w:themeColor="text1"/>
          <w:sz w:val="20"/>
          <w:szCs w:val="20"/>
        </w:rPr>
        <w:t xml:space="preserve"> en el curso 2020-21 han sido las siguientes: las asignaturas teóricas se han impartido d</w:t>
      </w:r>
      <w:r>
        <w:rPr>
          <w:color w:val="000000" w:themeColor="text1"/>
          <w:sz w:val="20"/>
          <w:szCs w:val="20"/>
        </w:rPr>
        <w:t>e</w:t>
      </w:r>
      <w:r w:rsidR="0030484A">
        <w:rPr>
          <w:color w:val="000000" w:themeColor="text1"/>
          <w:sz w:val="20"/>
          <w:szCs w:val="20"/>
        </w:rPr>
        <w:t>sde la UCA de</w:t>
      </w:r>
      <w:r>
        <w:rPr>
          <w:color w:val="000000" w:themeColor="text1"/>
          <w:sz w:val="20"/>
          <w:szCs w:val="20"/>
        </w:rPr>
        <w:t xml:space="preserve"> forma presencial en el aula </w:t>
      </w:r>
      <w:r w:rsidR="0030484A">
        <w:rPr>
          <w:color w:val="000000" w:themeColor="text1"/>
          <w:sz w:val="20"/>
          <w:szCs w:val="20"/>
        </w:rPr>
        <w:t>FC11, FC9 y FC5</w:t>
      </w:r>
      <w:r w:rsidRPr="00C06D8E">
        <w:rPr>
          <w:color w:val="000000" w:themeColor="text1"/>
          <w:sz w:val="20"/>
          <w:szCs w:val="20"/>
        </w:rPr>
        <w:t>, con capacidad suficiente para que el alumnado pueda recibir la docencia de forma adecuada de forma pre</w:t>
      </w:r>
      <w:r w:rsidR="0030484A">
        <w:rPr>
          <w:color w:val="000000" w:themeColor="text1"/>
          <w:sz w:val="20"/>
          <w:szCs w:val="20"/>
        </w:rPr>
        <w:t>sencial</w:t>
      </w:r>
      <w:r w:rsidRPr="00C06D8E">
        <w:rPr>
          <w:color w:val="000000" w:themeColor="text1"/>
          <w:sz w:val="20"/>
          <w:szCs w:val="20"/>
        </w:rPr>
        <w:t>. Esta</w:t>
      </w:r>
      <w:r w:rsidR="0030484A">
        <w:rPr>
          <w:color w:val="000000" w:themeColor="text1"/>
          <w:sz w:val="20"/>
          <w:szCs w:val="20"/>
        </w:rPr>
        <w:t>s</w:t>
      </w:r>
      <w:r w:rsidRPr="00C06D8E">
        <w:rPr>
          <w:color w:val="000000" w:themeColor="text1"/>
          <w:sz w:val="20"/>
          <w:szCs w:val="20"/>
        </w:rPr>
        <w:t xml:space="preserve"> aula</w:t>
      </w:r>
      <w:r w:rsidR="0030484A">
        <w:rPr>
          <w:color w:val="000000" w:themeColor="text1"/>
          <w:sz w:val="20"/>
          <w:szCs w:val="20"/>
        </w:rPr>
        <w:t>s</w:t>
      </w:r>
      <w:r w:rsidRPr="00C06D8E">
        <w:rPr>
          <w:color w:val="000000" w:themeColor="text1"/>
          <w:sz w:val="20"/>
          <w:szCs w:val="20"/>
        </w:rPr>
        <w:t xml:space="preserve"> cuenta</w:t>
      </w:r>
      <w:r w:rsidR="0030484A">
        <w:rPr>
          <w:color w:val="000000" w:themeColor="text1"/>
          <w:sz w:val="20"/>
          <w:szCs w:val="20"/>
        </w:rPr>
        <w:t>n</w:t>
      </w:r>
      <w:r w:rsidRPr="00C06D8E">
        <w:rPr>
          <w:color w:val="000000" w:themeColor="text1"/>
          <w:sz w:val="20"/>
          <w:szCs w:val="20"/>
        </w:rPr>
        <w:t xml:space="preserve"> con los medios audiovisuales anteriormente señalados. Para el desarrollo de las prácticas se han hecho uso de los laboratorios docentes </w:t>
      </w:r>
      <w:r w:rsidR="0030484A">
        <w:rPr>
          <w:color w:val="000000" w:themeColor="text1"/>
          <w:sz w:val="20"/>
          <w:szCs w:val="20"/>
        </w:rPr>
        <w:t>LB4</w:t>
      </w:r>
      <w:r w:rsidRPr="00C06D8E">
        <w:rPr>
          <w:color w:val="000000" w:themeColor="text1"/>
          <w:sz w:val="20"/>
          <w:szCs w:val="20"/>
        </w:rPr>
        <w:t xml:space="preserve">, para la mayoría de las sesiones prácticas de laboratorio de las distintas asignaturas. Puntualmente se han desarrollados sesiones prácticas concretas en </w:t>
      </w:r>
      <w:r w:rsidR="0030484A">
        <w:rPr>
          <w:color w:val="000000" w:themeColor="text1"/>
          <w:sz w:val="20"/>
          <w:szCs w:val="20"/>
        </w:rPr>
        <w:t xml:space="preserve">otros laboratorios </w:t>
      </w:r>
      <w:r w:rsidR="00D44B1F">
        <w:rPr>
          <w:color w:val="000000" w:themeColor="text1"/>
          <w:sz w:val="20"/>
          <w:szCs w:val="20"/>
        </w:rPr>
        <w:t xml:space="preserve">de </w:t>
      </w:r>
      <w:r w:rsidR="00D44B1F" w:rsidRPr="00C06D8E">
        <w:rPr>
          <w:color w:val="000000" w:themeColor="text1"/>
          <w:sz w:val="20"/>
          <w:szCs w:val="20"/>
        </w:rPr>
        <w:t>investigación</w:t>
      </w:r>
      <w:r w:rsidRPr="00C06D8E">
        <w:rPr>
          <w:color w:val="000000" w:themeColor="text1"/>
          <w:sz w:val="20"/>
          <w:szCs w:val="20"/>
        </w:rPr>
        <w:t xml:space="preserve"> de determinados grupos de investigación ubicados tamb</w:t>
      </w:r>
      <w:r w:rsidR="0030484A">
        <w:rPr>
          <w:color w:val="000000" w:themeColor="text1"/>
          <w:sz w:val="20"/>
          <w:szCs w:val="20"/>
        </w:rPr>
        <w:t xml:space="preserve">ién en el Campus de Puerto Real, concretamente en el Instituto de Investigaciones </w:t>
      </w:r>
      <w:r w:rsidR="00D44B1F">
        <w:rPr>
          <w:color w:val="000000" w:themeColor="text1"/>
          <w:sz w:val="20"/>
          <w:szCs w:val="20"/>
        </w:rPr>
        <w:t>Vitivinícolas</w:t>
      </w:r>
      <w:r w:rsidR="0030484A">
        <w:rPr>
          <w:color w:val="000000" w:themeColor="text1"/>
          <w:sz w:val="20"/>
          <w:szCs w:val="20"/>
        </w:rPr>
        <w:t xml:space="preserve"> y </w:t>
      </w:r>
      <w:r w:rsidR="00D44B1F">
        <w:rPr>
          <w:color w:val="000000" w:themeColor="text1"/>
          <w:sz w:val="20"/>
          <w:szCs w:val="20"/>
        </w:rPr>
        <w:t>Agroalimentarias (IVAGRO)</w:t>
      </w:r>
      <w:r w:rsidRPr="00C06D8E">
        <w:rPr>
          <w:color w:val="000000" w:themeColor="text1"/>
          <w:sz w:val="20"/>
          <w:szCs w:val="20"/>
        </w:rPr>
        <w:t>. Todos los laboratorios utilizados cuentan con las medidas de seguridad, capacidad y medios técnicos necesarios para llevar a cabo el desarrollo de las sesiones prácticas de este título de forma presencial, dado el número de alumnos matriculados y la capacidad de aforo de dichos espacios. En cuanto al equipamiento de los laboratorios, los alumnos del m</w:t>
      </w:r>
      <w:r w:rsidR="0030484A">
        <w:rPr>
          <w:color w:val="000000" w:themeColor="text1"/>
          <w:sz w:val="20"/>
          <w:szCs w:val="20"/>
        </w:rPr>
        <w:t>á</w:t>
      </w:r>
      <w:r w:rsidRPr="00C06D8E">
        <w:rPr>
          <w:color w:val="000000" w:themeColor="text1"/>
          <w:sz w:val="20"/>
          <w:szCs w:val="20"/>
        </w:rPr>
        <w:t>ster tienen instrumental y materiales suficientes y de calidad para el desarrollo de sus estudios y las competencias propias del título. Todos los laboratorios cuentan con material fungible necesario para el desarrollo de las prácticas, y como no podía ser de otra forma se cuenta con medidas de seguridad y medios técnicos necesarios para actuar antes cualquier eventualidad y en caso de necesidad.</w:t>
      </w:r>
    </w:p>
    <w:p w14:paraId="19F87E90" w14:textId="77777777" w:rsidR="00C06D8E" w:rsidRPr="00C06D8E" w:rsidRDefault="00C06D8E" w:rsidP="00AE14B1">
      <w:pPr>
        <w:spacing w:after="0" w:line="240" w:lineRule="auto"/>
        <w:jc w:val="both"/>
        <w:rPr>
          <w:color w:val="000000" w:themeColor="text1"/>
          <w:sz w:val="20"/>
          <w:szCs w:val="20"/>
        </w:rPr>
      </w:pPr>
    </w:p>
    <w:p w14:paraId="6D1C197A"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Además, teniendo en cuenta que la Facultad se encuentra dentro de la estrategia de Campus, todos los alumnos y profesores pueden beneficiarse de las instalaciones que se encuentran en este Campus. Así cabe destacar que en el mismo edificio de la Facultad se encuentra la sede de los Servicios Centrales de Investigación Científica y Tecnológica de la Universidad de Cádiz (SC-ICYT) que es un servicio general de apoyo a la investigación en el que se centraliza el principal equipamiento científico de la Universidad de Cádiz con distintas divisiones como difracción de Rayos X, espectrometría de masas, espectroscopía atómica (ICP, AAS, ICP-MS), microscopía </w:t>
      </w:r>
      <w:r w:rsidRPr="00C06D8E">
        <w:rPr>
          <w:color w:val="000000" w:themeColor="text1"/>
          <w:sz w:val="20"/>
          <w:szCs w:val="20"/>
        </w:rPr>
        <w:lastRenderedPageBreak/>
        <w:t>electrónica, radioisótopos y análisis de biomoléculas y microscopia confocal, resonancia magnética nuclear, unidad de espectroscopía fotoelectrónica (XPS) y fabricación aditiva.</w:t>
      </w:r>
    </w:p>
    <w:p w14:paraId="6A0A3BE1" w14:textId="77777777" w:rsidR="00C06D8E" w:rsidRPr="00C06D8E" w:rsidRDefault="00C06D8E" w:rsidP="00AE14B1">
      <w:pPr>
        <w:spacing w:after="0" w:line="240" w:lineRule="auto"/>
        <w:jc w:val="both"/>
        <w:rPr>
          <w:color w:val="000000" w:themeColor="text1"/>
          <w:sz w:val="20"/>
          <w:szCs w:val="20"/>
        </w:rPr>
      </w:pPr>
    </w:p>
    <w:p w14:paraId="25A80992" w14:textId="77777777" w:rsidR="00C06D8E" w:rsidRPr="0030484A" w:rsidRDefault="00C06D8E" w:rsidP="00AE14B1">
      <w:pPr>
        <w:spacing w:after="0" w:line="240" w:lineRule="auto"/>
        <w:jc w:val="both"/>
        <w:rPr>
          <w:b/>
          <w:color w:val="000000" w:themeColor="text1"/>
          <w:sz w:val="20"/>
          <w:szCs w:val="20"/>
        </w:rPr>
      </w:pPr>
      <w:r w:rsidRPr="0030484A">
        <w:rPr>
          <w:b/>
          <w:color w:val="000000" w:themeColor="text1"/>
          <w:sz w:val="20"/>
          <w:szCs w:val="20"/>
        </w:rPr>
        <w:t xml:space="preserve">2.- Descripción de recursos y servicios de la Universidad </w:t>
      </w:r>
      <w:r w:rsidR="0030484A">
        <w:rPr>
          <w:b/>
          <w:color w:val="000000" w:themeColor="text1"/>
          <w:sz w:val="20"/>
          <w:szCs w:val="20"/>
        </w:rPr>
        <w:t xml:space="preserve">de Cádiz </w:t>
      </w:r>
      <w:r w:rsidRPr="0030484A">
        <w:rPr>
          <w:b/>
          <w:color w:val="000000" w:themeColor="text1"/>
          <w:sz w:val="20"/>
          <w:szCs w:val="20"/>
        </w:rPr>
        <w:t>disponibl</w:t>
      </w:r>
      <w:r w:rsidR="0030484A">
        <w:rPr>
          <w:b/>
          <w:color w:val="000000" w:themeColor="text1"/>
          <w:sz w:val="20"/>
          <w:szCs w:val="20"/>
        </w:rPr>
        <w:t>es para los alumnos del má</w:t>
      </w:r>
      <w:r w:rsidRPr="0030484A">
        <w:rPr>
          <w:b/>
          <w:color w:val="000000" w:themeColor="text1"/>
          <w:sz w:val="20"/>
          <w:szCs w:val="20"/>
        </w:rPr>
        <w:t>ster.</w:t>
      </w:r>
    </w:p>
    <w:p w14:paraId="3A83EFEB"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La Universidad de Cádiz ha recibido en julio de 2018 y renovado en 2021 el Sello de Excelencia Europea EFQM 500+, esto es, el más alto reconocimiento establecido por la European Foundation for Quality Management (EFQM), mejorando el sello 400+ conseguido por la UCA en 2016 (</w:t>
      </w:r>
      <w:hyperlink r:id="rId30" w:history="1">
        <w:r w:rsidRPr="0030484A">
          <w:rPr>
            <w:rStyle w:val="Hipervnculo"/>
            <w:sz w:val="20"/>
            <w:szCs w:val="20"/>
          </w:rPr>
          <w:t>https://bit.ly/2K5RsTu</w:t>
        </w:r>
      </w:hyperlink>
      <w:r w:rsidRPr="00C06D8E">
        <w:rPr>
          <w:color w:val="000000" w:themeColor="text1"/>
          <w:sz w:val="20"/>
          <w:szCs w:val="20"/>
        </w:rPr>
        <w:t>). En esta misma línea, el Área de Deportes de la UCA alcanzó el Sello de Excelencia Europea 500+ en la gestión. Se trata, pues, de un reconocimiento internacional del máximo nivel que se concede tras una evaluación completa del sistema de gestión de los procesos de docencia, investigación, transferencia y servicios de nuestra Universidad. En estos momentos, una veintena de universidades españolas disponen de algún tipo de Sello de Excelencia, aunque solo tres universidades en España mantienen actualmente un nivel 500+ para toda la organización, entre ellas, la UCA. Esto repercute en unas instalaciones de la máxima excelenc</w:t>
      </w:r>
      <w:r w:rsidR="0030484A">
        <w:rPr>
          <w:color w:val="000000" w:themeColor="text1"/>
          <w:sz w:val="20"/>
          <w:szCs w:val="20"/>
        </w:rPr>
        <w:t>ia para los alumnos del má</w:t>
      </w:r>
      <w:r w:rsidRPr="00C06D8E">
        <w:rPr>
          <w:color w:val="000000" w:themeColor="text1"/>
          <w:sz w:val="20"/>
          <w:szCs w:val="20"/>
        </w:rPr>
        <w:t>ster en el curso 2020-21.</w:t>
      </w:r>
    </w:p>
    <w:p w14:paraId="7297E7F4" w14:textId="77777777" w:rsidR="00C06D8E" w:rsidRPr="00C06D8E" w:rsidRDefault="00C06D8E" w:rsidP="00AE14B1">
      <w:pPr>
        <w:spacing w:after="0" w:line="240" w:lineRule="auto"/>
        <w:jc w:val="both"/>
        <w:rPr>
          <w:color w:val="000000" w:themeColor="text1"/>
          <w:sz w:val="20"/>
          <w:szCs w:val="20"/>
        </w:rPr>
      </w:pPr>
    </w:p>
    <w:p w14:paraId="48AA76D3"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a) Biblioteca. La Biblioteca de Campus de Puerto Real, es una biblioteca común, que da servicio a las Facultades de Ciencias, CASEM, Facultad de Ciencia de la Educación, Escuela Superior de Ingeniería y a los institutos de investigación ubicados en el campus. Esta cuenta con: 9 Salas de Trabajo Individuales y de Grupo (destinadas al trabajo individual o grupal respectivamente), Aula de Formación (pequeñas salas con equipamiento audiovisual y de ofimática que pueden ser utilizadas por el PDI y PAS para actividades académicas o de formación. La capacidad máxima es de 15 a 30 personas), Espacio de Aprendizaje (salas multifuncionales destinadas a la docencia, con equipamiento audiovisual y de ofimática, que pueden ser utilizadas por el PDI y PAS para la realización de actividades académicas, cursos, seminarios o sesiones de formación. La capacidad máxima es de 40 a 50 personas) y Videoconferencia, Ordenadores portátiles de Préstamo diario y de Préstamo por curso académico. Estos espacios pueden ser reservados de forma rápida y ágil a través de la dirección</w:t>
      </w:r>
      <w:r w:rsidR="00C00C23">
        <w:rPr>
          <w:color w:val="000000" w:themeColor="text1"/>
          <w:sz w:val="20"/>
          <w:szCs w:val="20"/>
        </w:rPr>
        <w:t xml:space="preserve"> web </w:t>
      </w:r>
      <w:hyperlink r:id="rId31" w:history="1">
        <w:r w:rsidR="00C00C23" w:rsidRPr="00C00C23">
          <w:rPr>
            <w:rStyle w:val="Hipervnculo"/>
            <w:sz w:val="20"/>
            <w:szCs w:val="20"/>
          </w:rPr>
          <w:t>https://biblioteca.uca.es</w:t>
        </w:r>
      </w:hyperlink>
      <w:r w:rsidRPr="00C06D8E">
        <w:rPr>
          <w:color w:val="000000" w:themeColor="text1"/>
          <w:sz w:val="20"/>
          <w:szCs w:val="20"/>
        </w:rPr>
        <w:t>.</w:t>
      </w:r>
    </w:p>
    <w:p w14:paraId="4E9D47CE" w14:textId="77777777" w:rsidR="00C06D8E" w:rsidRPr="00C06D8E" w:rsidRDefault="00C06D8E" w:rsidP="00AE14B1">
      <w:pPr>
        <w:spacing w:after="0" w:line="240" w:lineRule="auto"/>
        <w:jc w:val="both"/>
        <w:rPr>
          <w:color w:val="000000" w:themeColor="text1"/>
          <w:sz w:val="20"/>
          <w:szCs w:val="20"/>
        </w:rPr>
      </w:pPr>
    </w:p>
    <w:p w14:paraId="02D88ACC"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La Biblioteca se ubica en un edificio propio de 2736 m</w:t>
      </w:r>
      <w:r w:rsidRPr="00DD0C71">
        <w:rPr>
          <w:color w:val="000000" w:themeColor="text1"/>
          <w:sz w:val="20"/>
          <w:szCs w:val="20"/>
          <w:vertAlign w:val="superscript"/>
        </w:rPr>
        <w:t>2</w:t>
      </w:r>
      <w:r w:rsidRPr="00C06D8E">
        <w:rPr>
          <w:color w:val="000000" w:themeColor="text1"/>
          <w:sz w:val="20"/>
          <w:szCs w:val="20"/>
        </w:rPr>
        <w:t>, cuenta con 390 puestos de lectura y 2595 metros lineales de estanterías, de los cuales 1595 m son de libre acceso y 1000 m son de depósito.  El fondo bibliográfico integrado por un total de 74.250 monografías y más de 1000 títulos de publicaciones periódicas, cubre las áreas de conocimiento de los centros a los que atiende. Dispone también de 35 ordenadores a disposición de los usuarios, 60 ordenadores portátiles de préstamo y 60 lectores, reproductores diversos (microformas, vídeos, etc.) y 2 bancos de autopréstamo.</w:t>
      </w:r>
    </w:p>
    <w:p w14:paraId="4851693C" w14:textId="77777777" w:rsidR="00C06D8E" w:rsidRPr="00C06D8E" w:rsidRDefault="00C06D8E" w:rsidP="00AE14B1">
      <w:pPr>
        <w:spacing w:after="0" w:line="240" w:lineRule="auto"/>
        <w:jc w:val="both"/>
        <w:rPr>
          <w:color w:val="000000" w:themeColor="text1"/>
          <w:sz w:val="20"/>
          <w:szCs w:val="20"/>
        </w:rPr>
      </w:pPr>
    </w:p>
    <w:p w14:paraId="763EF451"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b) Campus virtual. 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 y en concreto es una herramienta muy út</w:t>
      </w:r>
      <w:r w:rsidR="00DD0C71">
        <w:rPr>
          <w:color w:val="000000" w:themeColor="text1"/>
          <w:sz w:val="20"/>
          <w:szCs w:val="20"/>
        </w:rPr>
        <w:t>il para los alumnos del má</w:t>
      </w:r>
      <w:r w:rsidRPr="00C06D8E">
        <w:rPr>
          <w:color w:val="000000" w:themeColor="text1"/>
          <w:sz w:val="20"/>
          <w:szCs w:val="20"/>
        </w:rPr>
        <w:t xml:space="preserve">ster, usada por todas las asignaturas del título, al igual que para el resto. </w:t>
      </w:r>
    </w:p>
    <w:p w14:paraId="682FD03E" w14:textId="77777777" w:rsidR="00C06D8E" w:rsidRPr="00C06D8E" w:rsidRDefault="00C06D8E" w:rsidP="00AE14B1">
      <w:pPr>
        <w:spacing w:after="0" w:line="240" w:lineRule="auto"/>
        <w:jc w:val="both"/>
        <w:rPr>
          <w:color w:val="000000" w:themeColor="text1"/>
          <w:sz w:val="20"/>
          <w:szCs w:val="20"/>
        </w:rPr>
      </w:pPr>
    </w:p>
    <w:p w14:paraId="0D54CE71"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c) Acceso a internet. Nuestro Centro, dispone de tres sub‐redes wifi diferenciadas que dan servicio a todos los grupos de interés. La red ucAirPublica da servicio general a todos los estudiantes, la red ucAir está disponible para el PDI y PAS y la red Eduroam ofrece servicio para el uso de profesores visitantes. La cobertura de la red permite cubrir todas las zonas comunes (pasillos, cafetería, Departamentos, Decanato), así como los espacios docentes tales como aulas, laboratorios, salas de estudio y de trabajo. Para ofrecer las mejores garantías de conectividad de los alumnos para sus actividades académicas, el Centro refuerza constantemente la cobertura de redes wifi con el apoyo técnico del Centro de Informática y de Tecnologías de la Información de la UCA, especialmente en zonas de cobertura limitada como los laboratorios, como el caso particular de la Planta Piloto cuya estructura intrínseca impide un alcance adecuado de las señales por lo que se han instalado varios repetidores de doble canal para potenciar la conectividad.</w:t>
      </w:r>
    </w:p>
    <w:p w14:paraId="09807875" w14:textId="77777777" w:rsidR="00C06D8E" w:rsidRPr="00C06D8E" w:rsidRDefault="00C06D8E" w:rsidP="00AE14B1">
      <w:pPr>
        <w:spacing w:after="0" w:line="240" w:lineRule="auto"/>
        <w:jc w:val="both"/>
        <w:rPr>
          <w:color w:val="000000" w:themeColor="text1"/>
          <w:sz w:val="20"/>
          <w:szCs w:val="20"/>
        </w:rPr>
      </w:pPr>
    </w:p>
    <w:p w14:paraId="2099C4D9"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d) Buzón de Atención al Usuario (BAU). Las consultas, quejas y reclamaciones, comunicaciones de incidencias docentes, sugerencias y felicitaciones de los usuarios se canalizan a través del Buzón de atención al usuario BAU (</w:t>
      </w:r>
      <w:hyperlink r:id="rId32" w:history="1">
        <w:r w:rsidRPr="00C00C23">
          <w:rPr>
            <w:rStyle w:val="Hipervnculo"/>
            <w:sz w:val="20"/>
            <w:szCs w:val="20"/>
          </w:rPr>
          <w:t>http://bau.uca.es</w:t>
        </w:r>
      </w:hyperlink>
      <w:r w:rsidRPr="00C06D8E">
        <w:rPr>
          <w:color w:val="000000" w:themeColor="text1"/>
          <w:sz w:val="20"/>
          <w:szCs w:val="20"/>
        </w:rPr>
        <w:t>) quien las dirige, según su naturaleza, a los responsables que correspondan (centros y departamentos). Esta herramienta, en diciembre de 2009, fue galardonada con el Premio a las Mejores Prácticas del Banco de Experiencia de Telescopi Cátedra UNESCO de Dirección Universitaria. El funcionamiento del BAU se encuentra regulado por la normativa aprobada por Acuerdo del Consejo de Gobierno de 19 de diciembre de 2016 (</w:t>
      </w:r>
      <w:hyperlink r:id="rId33" w:history="1">
        <w:r w:rsidRPr="00C00C23">
          <w:rPr>
            <w:rStyle w:val="Hipervnculo"/>
            <w:sz w:val="20"/>
            <w:szCs w:val="20"/>
          </w:rPr>
          <w:t>https://buzon.uca.es/cau/index.do</w:t>
        </w:r>
      </w:hyperlink>
      <w:r w:rsidRPr="00C06D8E">
        <w:rPr>
          <w:color w:val="000000" w:themeColor="text1"/>
          <w:sz w:val="20"/>
          <w:szCs w:val="20"/>
        </w:rPr>
        <w:t xml:space="preserve">). </w:t>
      </w:r>
    </w:p>
    <w:p w14:paraId="46216FFB" w14:textId="77777777" w:rsidR="00C06D8E" w:rsidRPr="00C06D8E" w:rsidRDefault="00C06D8E" w:rsidP="00AE14B1">
      <w:pPr>
        <w:spacing w:after="0" w:line="240" w:lineRule="auto"/>
        <w:jc w:val="both"/>
        <w:rPr>
          <w:color w:val="000000" w:themeColor="text1"/>
          <w:sz w:val="20"/>
          <w:szCs w:val="20"/>
        </w:rPr>
      </w:pPr>
    </w:p>
    <w:p w14:paraId="0BD1BE0A"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e) Centro de Atención al Usuario (CAU). Para garantizar la totalidad de servicios y recursos materiales necesarios para el normal funcionamiento de los títulos, la Universidad de Cádiz dispone del Centro de Atención al Usuario (CAU), disponible en </w:t>
      </w:r>
      <w:hyperlink r:id="rId34" w:history="1">
        <w:r w:rsidRPr="00C00C23">
          <w:rPr>
            <w:rStyle w:val="Hipervnculo"/>
            <w:sz w:val="20"/>
            <w:szCs w:val="20"/>
          </w:rPr>
          <w:t>https://cau.uca.es/cau/indiceGlobal.do</w:t>
        </w:r>
      </w:hyperlink>
      <w:r w:rsidRPr="00C06D8E">
        <w:rPr>
          <w:color w:val="000000" w:themeColor="text1"/>
          <w:sz w:val="20"/>
          <w:szCs w:val="20"/>
        </w:rPr>
        <w:t>. El CAU es el instrumento electrónico disponible para realizar las solicitudes de servicios y recursos de manera estructurada y sistemática y dispone de una relación detallada de los servicios ofertados organizados en función de las áreas responsables. 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08742E8C" w14:textId="77777777" w:rsidR="00C06D8E" w:rsidRPr="00C06D8E" w:rsidRDefault="00C06D8E" w:rsidP="00AE14B1">
      <w:pPr>
        <w:spacing w:after="0" w:line="240" w:lineRule="auto"/>
        <w:jc w:val="both"/>
        <w:rPr>
          <w:color w:val="000000" w:themeColor="text1"/>
          <w:sz w:val="20"/>
          <w:szCs w:val="20"/>
        </w:rPr>
      </w:pPr>
    </w:p>
    <w:p w14:paraId="6C2A6B14"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 En el año 2014, la Cátedra Unesco de Dirección Universitaria en su segunda edición de los premios TELESCOPI otorgó el PREMIO A LA MEJOR BUENA PRÁCTICA DEL CRITERIO CLIENTES, al “Centro de Atención al Usuario de la UCA" (CAU).</w:t>
      </w:r>
    </w:p>
    <w:p w14:paraId="325ABD47" w14:textId="77777777" w:rsidR="00C06D8E" w:rsidRPr="00C06D8E" w:rsidRDefault="00C06D8E" w:rsidP="00AE14B1">
      <w:pPr>
        <w:spacing w:after="0" w:line="240" w:lineRule="auto"/>
        <w:jc w:val="both"/>
        <w:rPr>
          <w:color w:val="000000" w:themeColor="text1"/>
          <w:sz w:val="20"/>
          <w:szCs w:val="20"/>
        </w:rPr>
      </w:pPr>
    </w:p>
    <w:p w14:paraId="5E1C0C8E"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f) Sistema Informático de Reserva de Recursos (SIRE). La reserva de recursos docentes se gestiona a través de la plataforma informática SIRE (</w:t>
      </w:r>
      <w:hyperlink r:id="rId35" w:history="1">
        <w:r w:rsidRPr="00C00C23">
          <w:rPr>
            <w:rStyle w:val="Hipervnculo"/>
            <w:sz w:val="20"/>
            <w:szCs w:val="20"/>
          </w:rPr>
          <w:t>https://sire.uca.es</w:t>
        </w:r>
      </w:hyperlink>
      <w:r w:rsidR="00C00C23">
        <w:rPr>
          <w:color w:val="000000" w:themeColor="text1"/>
          <w:sz w:val="20"/>
          <w:szCs w:val="20"/>
        </w:rPr>
        <w:t>)</w:t>
      </w:r>
      <w:r w:rsidRPr="00C06D8E">
        <w:rPr>
          <w:color w:val="000000" w:themeColor="text1"/>
          <w:sz w:val="20"/>
          <w:szCs w:val="20"/>
        </w:rPr>
        <w:t>. En ella constan todos los espacios disponibles, con indicación de su ocupación y con la posibilidad de solicitar la reserva de espacios que luego, es confirmada por el responsable de la plataforma SIRE en el Centro. Igualmente, la reserva de espacios de trabajo puede realizarse a través de la web de Biblioteca, en la dirección anteriormente mencionada.</w:t>
      </w:r>
    </w:p>
    <w:p w14:paraId="751A9387" w14:textId="77777777" w:rsidR="00C06D8E" w:rsidRPr="00C06D8E" w:rsidRDefault="00C06D8E" w:rsidP="00AE14B1">
      <w:pPr>
        <w:spacing w:after="0" w:line="240" w:lineRule="auto"/>
        <w:jc w:val="both"/>
        <w:rPr>
          <w:color w:val="000000" w:themeColor="text1"/>
          <w:sz w:val="20"/>
          <w:szCs w:val="20"/>
        </w:rPr>
      </w:pPr>
    </w:p>
    <w:p w14:paraId="179A8A1F"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g) Servicio Central de Investigación Científica y Tecnológica (SC-ICYT) de la Universidad de Cádiz. Desde el año 2011 este servicio está certificado según norma UNE EN-ISO 9001:2015. Se encuentra ubicado en el Campus de Puerto Real de la Universidad de Cádiz ocupando en la actualidad una superficie aproximada de 640 m2. El SC-ICYT, que acoge la mayor parte de los grandes equipos de investigación de la UCA, cuenta con 10 divisiones que dan servicio a los grupos de investigación de esta Universidad, a otros organismos públicos de investigación y a empresas privadas. Estas 10 divisiones son: Análisis de Biomoléculas y Microscopía Confocal, Difracción de Rayos X (donde se ubican varios difractómetros así como un equipo de fluorescencia de Rayos X), Espectrometría de Masas, Espectroscopía Atómica (ICP, AAS, ICP‐MS), Microscopía Electrónica (que oferta 3 microscopios de barrido y 4 microscopios de transmisión), Resonancia Magnética Nuclear (que incluye un RMN de 300 MHz y otro de 400 MHz), Preparación de Muestras Sólidas para Microscopía Óptica y Electrónica, Servicios de Nitrógeno Liquido y Fabricación Aditiva. Más información en: </w:t>
      </w:r>
      <w:hyperlink r:id="rId36" w:history="1">
        <w:r w:rsidR="00C00C23" w:rsidRPr="00C00C23">
          <w:rPr>
            <w:rStyle w:val="Hipervnculo"/>
            <w:sz w:val="20"/>
            <w:szCs w:val="20"/>
          </w:rPr>
          <w:t>http://sccyt.uca.es/</w:t>
        </w:r>
      </w:hyperlink>
      <w:r w:rsidR="00C00C23">
        <w:rPr>
          <w:color w:val="000000" w:themeColor="text1"/>
          <w:sz w:val="20"/>
          <w:szCs w:val="20"/>
        </w:rPr>
        <w:t>.</w:t>
      </w:r>
    </w:p>
    <w:p w14:paraId="112A276F" w14:textId="77777777" w:rsidR="00C06D8E" w:rsidRPr="00C06D8E" w:rsidRDefault="00C06D8E" w:rsidP="00AE14B1">
      <w:pPr>
        <w:spacing w:after="0" w:line="240" w:lineRule="auto"/>
        <w:jc w:val="both"/>
        <w:rPr>
          <w:color w:val="000000" w:themeColor="text1"/>
          <w:sz w:val="20"/>
          <w:szCs w:val="20"/>
        </w:rPr>
      </w:pPr>
    </w:p>
    <w:p w14:paraId="14C7A192" w14:textId="795BE18D"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h) Institutos de investigación. El II Plan Estratégico de la Universidad de Cádiz incluye entre sus líneas de actuación la vertebración de la Investigación en Institutos de Investigación. Contamos con Institutos tanto propios, como mixtos e interuniversitarios de la Universidad de Cádiz, los cuales están vinculados con el potencial investigador de nuestra Institución. En los Institutos de Investigación de la Universidad de Cádiz se integra la excelencia investigadora de nuestra Institución, así como la infraestructura científica especializada. Los Institutos de Investigación son focos de atracción de talento investigador a nuestra Universidad. Se dispone en la actualidad de los siguientes centros que puedan ser de inter</w:t>
      </w:r>
      <w:r w:rsidR="00C00C23">
        <w:rPr>
          <w:color w:val="000000" w:themeColor="text1"/>
          <w:sz w:val="20"/>
          <w:szCs w:val="20"/>
        </w:rPr>
        <w:t>és para los alumnos del má</w:t>
      </w:r>
      <w:r w:rsidRPr="00C06D8E">
        <w:rPr>
          <w:color w:val="000000" w:themeColor="text1"/>
          <w:sz w:val="20"/>
          <w:szCs w:val="20"/>
        </w:rPr>
        <w:t xml:space="preserve">ster: (Más información en: </w:t>
      </w:r>
      <w:hyperlink r:id="rId37" w:history="1">
        <w:r w:rsidRPr="00C00C23">
          <w:rPr>
            <w:rStyle w:val="Hipervnculo"/>
            <w:sz w:val="20"/>
            <w:szCs w:val="20"/>
          </w:rPr>
          <w:t>http://vrinvestigacion.uca.es/institutos-de-investigacion/</w:t>
        </w:r>
      </w:hyperlink>
      <w:r w:rsidRPr="00C06D8E">
        <w:rPr>
          <w:color w:val="000000" w:themeColor="text1"/>
          <w:sz w:val="20"/>
          <w:szCs w:val="20"/>
        </w:rPr>
        <w:t xml:space="preserve"> )</w:t>
      </w:r>
    </w:p>
    <w:p w14:paraId="498E2C7E"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w:t>
      </w:r>
      <w:r w:rsidRPr="00C06D8E">
        <w:rPr>
          <w:color w:val="000000" w:themeColor="text1"/>
          <w:sz w:val="20"/>
          <w:szCs w:val="20"/>
        </w:rPr>
        <w:tab/>
        <w:t>Instituto de Microscopía Electrónica y Materiales.</w:t>
      </w:r>
    </w:p>
    <w:p w14:paraId="6E4DAF11"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w:t>
      </w:r>
      <w:r w:rsidRPr="00C06D8E">
        <w:rPr>
          <w:color w:val="000000" w:themeColor="text1"/>
          <w:sz w:val="20"/>
          <w:szCs w:val="20"/>
        </w:rPr>
        <w:tab/>
        <w:t>Instituto de Investigaciones Vitivinícolas y Agroalimentarias.</w:t>
      </w:r>
    </w:p>
    <w:p w14:paraId="35422273"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w:t>
      </w:r>
      <w:r w:rsidRPr="00C06D8E">
        <w:rPr>
          <w:color w:val="000000" w:themeColor="text1"/>
          <w:sz w:val="20"/>
          <w:szCs w:val="20"/>
        </w:rPr>
        <w:tab/>
        <w:t>Instituto de Investigaciones Marinas.</w:t>
      </w:r>
    </w:p>
    <w:p w14:paraId="4530789C"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w:t>
      </w:r>
      <w:r w:rsidRPr="00C06D8E">
        <w:rPr>
          <w:color w:val="000000" w:themeColor="text1"/>
          <w:sz w:val="20"/>
          <w:szCs w:val="20"/>
        </w:rPr>
        <w:tab/>
        <w:t>Instituto de Investigación en Biomoléculas</w:t>
      </w:r>
    </w:p>
    <w:p w14:paraId="6F8FC28C"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w:t>
      </w:r>
      <w:r w:rsidRPr="00C06D8E">
        <w:rPr>
          <w:color w:val="000000" w:themeColor="text1"/>
          <w:sz w:val="20"/>
          <w:szCs w:val="20"/>
        </w:rPr>
        <w:tab/>
        <w:t>Instituto de Investigación en Ciencias Biomédicas de Cádiz</w:t>
      </w:r>
    </w:p>
    <w:p w14:paraId="792778CE" w14:textId="77777777" w:rsidR="00C06D8E" w:rsidRPr="00C06D8E" w:rsidRDefault="00C06D8E" w:rsidP="00AE14B1">
      <w:pPr>
        <w:spacing w:after="0" w:line="240" w:lineRule="auto"/>
        <w:jc w:val="both"/>
        <w:rPr>
          <w:color w:val="000000" w:themeColor="text1"/>
          <w:sz w:val="20"/>
          <w:szCs w:val="20"/>
        </w:rPr>
      </w:pPr>
    </w:p>
    <w:p w14:paraId="7A527217"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j)  Otros. Finalmente, la Facultad de Ciencias cuenta además con otros recursos y servicios como son: Delegación de alumnos, Servicio de copistería, Servicio de cafetería/comedor y un Servicio de Máquinas Vending para bebidas calientas, fr</w:t>
      </w:r>
      <w:r w:rsidR="00C00C23">
        <w:rPr>
          <w:color w:val="000000" w:themeColor="text1"/>
          <w:sz w:val="20"/>
          <w:szCs w:val="20"/>
        </w:rPr>
        <w:t>í</w:t>
      </w:r>
      <w:r w:rsidRPr="00C06D8E">
        <w:rPr>
          <w:color w:val="000000" w:themeColor="text1"/>
          <w:sz w:val="20"/>
          <w:szCs w:val="20"/>
        </w:rPr>
        <w:t xml:space="preserve">as y snacks.  </w:t>
      </w:r>
    </w:p>
    <w:p w14:paraId="47EFD4EA" w14:textId="77777777" w:rsidR="00C06D8E" w:rsidRPr="00C06D8E" w:rsidRDefault="004C696C" w:rsidP="00AE14B1">
      <w:pPr>
        <w:spacing w:after="0" w:line="240" w:lineRule="auto"/>
        <w:jc w:val="both"/>
        <w:rPr>
          <w:color w:val="000000" w:themeColor="text1"/>
          <w:sz w:val="20"/>
          <w:szCs w:val="20"/>
        </w:rPr>
      </w:pPr>
      <w:hyperlink r:id="rId38" w:history="1">
        <w:r w:rsidR="00C06D8E" w:rsidRPr="00C00C23">
          <w:rPr>
            <w:rStyle w:val="Hipervnculo"/>
            <w:sz w:val="20"/>
            <w:szCs w:val="20"/>
          </w:rPr>
          <w:t>https://ciencias.uca.es/conocenos-infraestructuras-index/</w:t>
        </w:r>
      </w:hyperlink>
      <w:r w:rsidR="00C06D8E" w:rsidRPr="00C06D8E">
        <w:rPr>
          <w:color w:val="000000" w:themeColor="text1"/>
          <w:sz w:val="20"/>
          <w:szCs w:val="20"/>
        </w:rPr>
        <w:t xml:space="preserve">. </w:t>
      </w:r>
    </w:p>
    <w:p w14:paraId="56C7F8E3" w14:textId="77777777" w:rsidR="00C06D8E" w:rsidRPr="00C06D8E" w:rsidRDefault="00C06D8E" w:rsidP="00AE14B1">
      <w:pPr>
        <w:spacing w:after="0" w:line="240" w:lineRule="auto"/>
        <w:jc w:val="both"/>
        <w:rPr>
          <w:color w:val="000000" w:themeColor="text1"/>
          <w:sz w:val="20"/>
          <w:szCs w:val="20"/>
        </w:rPr>
      </w:pPr>
    </w:p>
    <w:p w14:paraId="50A3FB2C" w14:textId="77777777" w:rsidR="00C06D8E" w:rsidRPr="00C00C23" w:rsidRDefault="00C06D8E" w:rsidP="00AE14B1">
      <w:pPr>
        <w:spacing w:after="0" w:line="240" w:lineRule="auto"/>
        <w:jc w:val="both"/>
        <w:rPr>
          <w:b/>
          <w:color w:val="000000" w:themeColor="text1"/>
          <w:sz w:val="20"/>
          <w:szCs w:val="20"/>
        </w:rPr>
      </w:pPr>
      <w:r w:rsidRPr="00C00C23">
        <w:rPr>
          <w:b/>
          <w:color w:val="000000" w:themeColor="text1"/>
          <w:sz w:val="20"/>
          <w:szCs w:val="20"/>
        </w:rPr>
        <w:t>3.- Orientación universitaria/académica para los alumnos de la universidad</w:t>
      </w:r>
      <w:r w:rsidR="00C00C23">
        <w:rPr>
          <w:b/>
          <w:color w:val="000000" w:themeColor="text1"/>
          <w:sz w:val="20"/>
          <w:szCs w:val="20"/>
        </w:rPr>
        <w:t xml:space="preserve"> de Cádiz</w:t>
      </w:r>
      <w:r w:rsidRPr="00C00C23">
        <w:rPr>
          <w:b/>
          <w:color w:val="000000" w:themeColor="text1"/>
          <w:sz w:val="20"/>
          <w:szCs w:val="20"/>
        </w:rPr>
        <w:t>.</w:t>
      </w:r>
    </w:p>
    <w:p w14:paraId="3DE7B79A" w14:textId="54E8E205"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a) Servicio de Atención Psicológica y Psicopedagógica (SAP): Éste tiene como objetivo atender las necesidades personales y académicas del </w:t>
      </w:r>
      <w:r w:rsidR="002532D1">
        <w:rPr>
          <w:color w:val="000000" w:themeColor="text1"/>
          <w:sz w:val="20"/>
          <w:szCs w:val="20"/>
        </w:rPr>
        <w:t>estudiantado</w:t>
      </w:r>
      <w:r w:rsidRPr="00C06D8E">
        <w:rPr>
          <w:color w:val="000000" w:themeColor="text1"/>
          <w:sz w:val="20"/>
          <w:szCs w:val="20"/>
        </w:rPr>
        <w:t xml:space="preserve"> asesorándoles en cuestiones que puedan mejorar la calidad de su </w:t>
      </w:r>
      <w:r w:rsidRPr="00C06D8E">
        <w:rPr>
          <w:color w:val="000000" w:themeColor="text1"/>
          <w:sz w:val="20"/>
          <w:szCs w:val="20"/>
        </w:rPr>
        <w:lastRenderedPageBreak/>
        <w:t>estancia y el aprendizaje. Cuenta con un equipo de psicólogos y psicopedagogos que ofrecen información y asesoramiento en áreas relacionadas con: Técnicas para mejorar el rendimiento académico; Control de la ansiedad ante los exámenes; Superar el miedo a hablar en público; Entrenamiento en relajación; Habilidades sociales; Estrategias para afrontar problemas; Toma de decisiones y Otros aspectos personales y/o académicos.</w:t>
      </w:r>
    </w:p>
    <w:p w14:paraId="7D7B6901" w14:textId="77777777" w:rsidR="00C06D8E" w:rsidRPr="00C06D8E" w:rsidRDefault="00C06D8E" w:rsidP="00AE14B1">
      <w:pPr>
        <w:spacing w:after="0" w:line="240" w:lineRule="auto"/>
        <w:jc w:val="both"/>
        <w:rPr>
          <w:color w:val="000000" w:themeColor="text1"/>
          <w:sz w:val="20"/>
          <w:szCs w:val="20"/>
        </w:rPr>
      </w:pPr>
    </w:p>
    <w:p w14:paraId="0278584F"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b) Secretariado de Políticas de Inclusión. 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5DE07570" w14:textId="77777777" w:rsidR="00C06D8E" w:rsidRPr="00C06D8E" w:rsidRDefault="00C06D8E" w:rsidP="00AE14B1">
      <w:pPr>
        <w:spacing w:after="0" w:line="240" w:lineRule="auto"/>
        <w:jc w:val="both"/>
        <w:rPr>
          <w:color w:val="000000" w:themeColor="text1"/>
          <w:sz w:val="20"/>
          <w:szCs w:val="20"/>
        </w:rPr>
      </w:pPr>
    </w:p>
    <w:p w14:paraId="07062003"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c) Unidad de Igualdad entre Mujeres y Hombres. La finalidad de la Unidad es tratar de eliminar las dificultades y barreras que impiden una participación igualitaria y el desarrollo personal, académico y profesional de todos los miembros de la comunidad universitaria y de que los principios de inclusión, pluralidad, diversidad, igualdad de oportunidades y equidad se hagan realidad tanto dentro como fuera de ella.</w:t>
      </w:r>
    </w:p>
    <w:p w14:paraId="1106C0CD" w14:textId="77777777" w:rsidR="00C06D8E" w:rsidRPr="00C06D8E" w:rsidRDefault="00C06D8E" w:rsidP="00AE14B1">
      <w:pPr>
        <w:spacing w:after="0" w:line="240" w:lineRule="auto"/>
        <w:jc w:val="both"/>
        <w:rPr>
          <w:color w:val="000000" w:themeColor="text1"/>
          <w:sz w:val="20"/>
          <w:szCs w:val="20"/>
        </w:rPr>
      </w:pPr>
    </w:p>
    <w:p w14:paraId="4B1F244E"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d) Servicio de Relaciones Internacionales. La Universidad cuenta, con un Servicio de Relaciones Internacionales,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39" w:history="1">
        <w:r w:rsidRPr="00C00C23">
          <w:rPr>
            <w:rStyle w:val="Hipervnculo"/>
            <w:sz w:val="20"/>
            <w:szCs w:val="20"/>
          </w:rPr>
          <w:t>http://internacional.uca.es/</w:t>
        </w:r>
      </w:hyperlink>
      <w:r w:rsidRPr="00C06D8E">
        <w:rPr>
          <w:color w:val="000000" w:themeColor="text1"/>
          <w:sz w:val="20"/>
          <w:szCs w:val="20"/>
        </w:rPr>
        <w:t xml:space="preserve"> .</w:t>
      </w:r>
    </w:p>
    <w:p w14:paraId="04C0A825" w14:textId="77777777" w:rsidR="00C06D8E" w:rsidRPr="00C06D8E" w:rsidRDefault="00C06D8E" w:rsidP="00AE14B1">
      <w:pPr>
        <w:spacing w:after="0" w:line="240" w:lineRule="auto"/>
        <w:jc w:val="both"/>
        <w:rPr>
          <w:color w:val="000000" w:themeColor="text1"/>
          <w:sz w:val="20"/>
          <w:szCs w:val="20"/>
        </w:rPr>
      </w:pPr>
    </w:p>
    <w:p w14:paraId="6DFF44D1"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e) Programa de Orientación y Apoyo al Estudiante (PROA). A nivel de Centro, la Acción Tutorial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La Facultad de Ciencias de la UCA tiene una experiencia de 15 años en el desarrollo y aplicación de programas de Acción Tutorial para la orientación de los alumnos de los diferentes títulos que se imparten en el Centro. Evidentemente cada titulación puede tener unas necesidades específicas diferentes, pero, en general, es la política de Centro en materia de Tutoría la que traza las líneas maestras de actuación en este campo. Aunque existen diferentes tipos de Tutorías, en el caso de la Facultad de Ciencias se ha elegido un modelo de Acción Tutorial basado en la participación activa del profesorado, de forma voluntaria, en calidad de tutores. En el caso del </w:t>
      </w:r>
      <w:r w:rsidR="00C00C23">
        <w:rPr>
          <w:color w:val="000000" w:themeColor="text1"/>
          <w:sz w:val="20"/>
          <w:szCs w:val="20"/>
        </w:rPr>
        <w:t>má</w:t>
      </w:r>
      <w:r w:rsidRPr="00C06D8E">
        <w:rPr>
          <w:color w:val="000000" w:themeColor="text1"/>
          <w:sz w:val="20"/>
          <w:szCs w:val="20"/>
        </w:rPr>
        <w:t>ster, la acción tutorial está dirigida en primer lugar por la Vicedecana responsable, y posteriormente se realiza una intensa labor de seguimiento y tutorización por parte del equipo de Coordinación, formado por el coordinador del Grado/M</w:t>
      </w:r>
      <w:r w:rsidR="00C00C23">
        <w:rPr>
          <w:color w:val="000000" w:themeColor="text1"/>
          <w:sz w:val="20"/>
          <w:szCs w:val="20"/>
        </w:rPr>
        <w:t>á</w:t>
      </w:r>
      <w:r w:rsidRPr="00C06D8E">
        <w:rPr>
          <w:color w:val="000000" w:themeColor="text1"/>
          <w:sz w:val="20"/>
          <w:szCs w:val="20"/>
        </w:rPr>
        <w:t>ster, el/la coordinador/a de prácticas de empresas y el/la coordinador/a de TFM. También el profesorado que tutoriza los TFM de cada alumno ejerce de profesor de referencia para cada alumno que cursa el título en materia de orientación y apoyo al estudiante (</w:t>
      </w:r>
      <w:hyperlink r:id="rId40" w:history="1">
        <w:r w:rsidRPr="00C00C23">
          <w:rPr>
            <w:rStyle w:val="Hipervnculo"/>
            <w:sz w:val="20"/>
            <w:szCs w:val="20"/>
          </w:rPr>
          <w:t>https://bit.ly/39gPjST</w:t>
        </w:r>
      </w:hyperlink>
      <w:r w:rsidRPr="00C06D8E">
        <w:rPr>
          <w:color w:val="000000" w:themeColor="text1"/>
          <w:sz w:val="20"/>
          <w:szCs w:val="20"/>
        </w:rPr>
        <w:t xml:space="preserve">). </w:t>
      </w:r>
    </w:p>
    <w:p w14:paraId="74FFFAA9" w14:textId="77777777" w:rsidR="00C06D8E" w:rsidRPr="00C06D8E" w:rsidRDefault="00C06D8E" w:rsidP="00AE14B1">
      <w:pPr>
        <w:spacing w:after="0" w:line="240" w:lineRule="auto"/>
        <w:jc w:val="both"/>
        <w:rPr>
          <w:color w:val="000000" w:themeColor="text1"/>
          <w:sz w:val="20"/>
          <w:szCs w:val="20"/>
        </w:rPr>
      </w:pPr>
    </w:p>
    <w:p w14:paraId="1B402599"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f) Área de Atención al Alumnado. La Facultad de Ciencias dispone de una oficina de atención al alumnado ubicada en el Decanato de la Facultad y que está formada por un grupo de antiguos alumnos y alumnas de la Facultad de Ciencias que actualmente se encuentran cursando estudios de máster 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 Becas, prácticas de empresa, programas de movilidad, cursos; normativa en relación a Planes de Estudio, convalidaciones, Libre Elección, convocatorias R, convocatorias extraordinarias. Cualquier otra duda o problema que te surja. Además de poner en contacto con aquellas personas o instituciones que interesen al estudiante (profesores, FUECA, etc.) Disponen de un correo institucional: rendimiento.ciencias@uca.es (</w:t>
      </w:r>
      <w:hyperlink r:id="rId41" w:history="1">
        <w:r w:rsidRPr="00C00C23">
          <w:rPr>
            <w:rStyle w:val="Hipervnculo"/>
            <w:sz w:val="20"/>
            <w:szCs w:val="20"/>
          </w:rPr>
          <w:t>https://bit.ly/2CS7qSY</w:t>
        </w:r>
      </w:hyperlink>
      <w:r w:rsidRPr="00C06D8E">
        <w:rPr>
          <w:color w:val="000000" w:themeColor="text1"/>
          <w:sz w:val="20"/>
          <w:szCs w:val="20"/>
        </w:rPr>
        <w:t xml:space="preserve">). </w:t>
      </w:r>
    </w:p>
    <w:p w14:paraId="06EF3055" w14:textId="77777777" w:rsidR="00C06D8E" w:rsidRPr="00C06D8E" w:rsidRDefault="00C06D8E" w:rsidP="00AE14B1">
      <w:pPr>
        <w:spacing w:after="0" w:line="240" w:lineRule="auto"/>
        <w:jc w:val="both"/>
        <w:rPr>
          <w:color w:val="000000" w:themeColor="text1"/>
          <w:sz w:val="20"/>
          <w:szCs w:val="20"/>
        </w:rPr>
      </w:pPr>
    </w:p>
    <w:p w14:paraId="211DE6E0"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g) Delegación de alumnos. La Facultad cuenta también con una Delegación de alumnos que dispone de un espacio en la facultad para el desarrollo de sus actividades de encuentro del alumnado y desarrollo de la gestión de sus actividades. Se dispone de un delegado de Centro, un subdelegado y una secretaría, así como diferentes representantes en diversos ámbitos como, por ejemplo, actividades, comunicación, sectorial, igualdad e inclusión. Disponen de un correo institucional alumnos.ciencias@uca.es y Redes sociales: @Delegaciónfcuca, Instagram: @alumnos.ciencias (</w:t>
      </w:r>
      <w:hyperlink r:id="rId42" w:history="1">
        <w:r w:rsidRPr="00C00C23">
          <w:rPr>
            <w:rStyle w:val="Hipervnculo"/>
            <w:sz w:val="20"/>
            <w:szCs w:val="20"/>
          </w:rPr>
          <w:t>https://bit.ly/39gyB6m</w:t>
        </w:r>
      </w:hyperlink>
      <w:r w:rsidRPr="00C06D8E">
        <w:rPr>
          <w:color w:val="000000" w:themeColor="text1"/>
          <w:sz w:val="20"/>
          <w:szCs w:val="20"/>
        </w:rPr>
        <w:t xml:space="preserve">). </w:t>
      </w:r>
    </w:p>
    <w:p w14:paraId="132EE97B" w14:textId="77777777" w:rsidR="00C06D8E" w:rsidRPr="00C06D8E" w:rsidRDefault="00C06D8E" w:rsidP="00AE14B1">
      <w:pPr>
        <w:spacing w:after="0" w:line="240" w:lineRule="auto"/>
        <w:jc w:val="both"/>
        <w:rPr>
          <w:color w:val="000000" w:themeColor="text1"/>
          <w:sz w:val="20"/>
          <w:szCs w:val="20"/>
        </w:rPr>
      </w:pPr>
    </w:p>
    <w:p w14:paraId="09BFDFD0"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lastRenderedPageBreak/>
        <w:t>h) Unidad de Préstamo de Ordenadores. Desde la Facultad de Ciencias los alumnos matriculados en las Titulaciones de la esta facultad pueden solicitar el préstamo de un ordenador portátil. Esta gestión se realiza a través de la Oficina de Atención al Alumno situada en el Decanato de la Facultad de Ciencias (</w:t>
      </w:r>
      <w:hyperlink r:id="rId43" w:history="1">
        <w:r w:rsidRPr="00C00C23">
          <w:rPr>
            <w:rStyle w:val="Hipervnculo"/>
            <w:sz w:val="20"/>
            <w:szCs w:val="20"/>
          </w:rPr>
          <w:t>https://bit.ly/2Bd48cy</w:t>
        </w:r>
      </w:hyperlink>
      <w:r w:rsidRPr="00C06D8E">
        <w:rPr>
          <w:color w:val="000000" w:themeColor="text1"/>
          <w:sz w:val="20"/>
          <w:szCs w:val="20"/>
        </w:rPr>
        <w:t xml:space="preserve">). </w:t>
      </w:r>
    </w:p>
    <w:p w14:paraId="20F9F705" w14:textId="77777777" w:rsidR="00C06D8E" w:rsidRPr="00C06D8E" w:rsidRDefault="00C06D8E" w:rsidP="00AE14B1">
      <w:pPr>
        <w:spacing w:after="0" w:line="240" w:lineRule="auto"/>
        <w:jc w:val="both"/>
        <w:rPr>
          <w:color w:val="000000" w:themeColor="text1"/>
          <w:sz w:val="20"/>
          <w:szCs w:val="20"/>
        </w:rPr>
      </w:pPr>
    </w:p>
    <w:p w14:paraId="30864718"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i) Tablón de anuncio online y redes sociales. La Facultad dispone de un tablón relacionadas con la Universidad y el Centro, así como con el mundo de la ciencia relacionado con los títulos que se imparten en el centro que se actualiza diariamente (</w:t>
      </w:r>
      <w:hyperlink r:id="rId44" w:history="1">
        <w:r w:rsidRPr="00C00C23">
          <w:rPr>
            <w:rStyle w:val="Hipervnculo"/>
            <w:sz w:val="20"/>
            <w:szCs w:val="20"/>
          </w:rPr>
          <w:t>http://ciencias.uca.es</w:t>
        </w:r>
      </w:hyperlink>
      <w:r w:rsidRPr="00C06D8E">
        <w:rPr>
          <w:color w:val="000000" w:themeColor="text1"/>
          <w:sz w:val="20"/>
          <w:szCs w:val="20"/>
        </w:rPr>
        <w:t>; en su apartado La Facultad Comunica), y podemos encontrar las Noticias, Elecciones, Actividades, Agenda, Logosímbolos e información externa. El centro también dispone de perfiles de redes sociales que se van actualizando con las noticias relevantes para el alumnado, tanto en la red twitter @FCC_UCA, como en la red Facebook @ciencias.uca (</w:t>
      </w:r>
      <w:hyperlink r:id="rId45" w:history="1">
        <w:r w:rsidRPr="00C00C23">
          <w:rPr>
            <w:rStyle w:val="Hipervnculo"/>
            <w:sz w:val="20"/>
            <w:szCs w:val="20"/>
          </w:rPr>
          <w:t>https://www.facebook.com/ciencias.uca</w:t>
        </w:r>
      </w:hyperlink>
      <w:r w:rsidRPr="00C06D8E">
        <w:rPr>
          <w:color w:val="000000" w:themeColor="text1"/>
          <w:sz w:val="20"/>
          <w:szCs w:val="20"/>
        </w:rPr>
        <w:t>).</w:t>
      </w:r>
    </w:p>
    <w:p w14:paraId="2A623A1D" w14:textId="77777777" w:rsidR="00C06D8E" w:rsidRPr="00C06D8E" w:rsidRDefault="00C06D8E" w:rsidP="00AE14B1">
      <w:pPr>
        <w:spacing w:after="0" w:line="240" w:lineRule="auto"/>
        <w:jc w:val="both"/>
        <w:rPr>
          <w:color w:val="000000" w:themeColor="text1"/>
          <w:sz w:val="20"/>
          <w:szCs w:val="20"/>
        </w:rPr>
      </w:pPr>
    </w:p>
    <w:p w14:paraId="155C2E93"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j) Jornadas de Orientación de Másteres. La Universidad organiza cada año unas Jornadas de Orientación de Másteres, impulsadas desde el Vicerrectorado de Estudiantes y Empleo, y dirigida a los estudiantes de 4º de grado en los diferentes centros de sus cuatro campus para acercarles toda la información sobre la oferta académica de posgrado de la UCA para el siguiente curso académico. Además, la Facultad de Ciencias a través del equipo Decanal y Coordinadores de Grados/</w:t>
      </w:r>
      <w:r w:rsidR="00C00C23" w:rsidRPr="00C06D8E">
        <w:rPr>
          <w:color w:val="000000" w:themeColor="text1"/>
          <w:sz w:val="20"/>
          <w:szCs w:val="20"/>
        </w:rPr>
        <w:t>Másteres</w:t>
      </w:r>
      <w:r w:rsidRPr="00C06D8E">
        <w:rPr>
          <w:color w:val="000000" w:themeColor="text1"/>
          <w:sz w:val="20"/>
          <w:szCs w:val="20"/>
        </w:rPr>
        <w:t xml:space="preserve"> realizan una intensa labor de información y difusión de la oferta de títulos en la facultad a lo largo de la primavera de cada curso académico. Estas sesiones se organizan bien de forma conjunta en la Facultad (</w:t>
      </w:r>
      <w:hyperlink r:id="rId46" w:history="1">
        <w:r w:rsidRPr="00C00C23">
          <w:rPr>
            <w:rStyle w:val="Hipervnculo"/>
            <w:sz w:val="20"/>
            <w:szCs w:val="20"/>
          </w:rPr>
          <w:t>https://bit.ly/2OHqNRG</w:t>
        </w:r>
      </w:hyperlink>
      <w:r w:rsidRPr="00C06D8E">
        <w:rPr>
          <w:color w:val="000000" w:themeColor="text1"/>
          <w:sz w:val="20"/>
          <w:szCs w:val="20"/>
        </w:rPr>
        <w:t>) o bien de forma individual cada Coordinador de Grados/</w:t>
      </w:r>
      <w:r w:rsidR="00C00C23" w:rsidRPr="00C06D8E">
        <w:rPr>
          <w:color w:val="000000" w:themeColor="text1"/>
          <w:sz w:val="20"/>
          <w:szCs w:val="20"/>
        </w:rPr>
        <w:t>Másteres</w:t>
      </w:r>
      <w:r w:rsidRPr="00C06D8E">
        <w:rPr>
          <w:color w:val="000000" w:themeColor="text1"/>
          <w:sz w:val="20"/>
          <w:szCs w:val="20"/>
        </w:rPr>
        <w:t xml:space="preserve"> se reúne con los alumnos de 4º Grado de las titulaciones afines al máster en el campus y se les explica los detalles del título.</w:t>
      </w:r>
    </w:p>
    <w:p w14:paraId="0C736E2F" w14:textId="77777777" w:rsidR="00C06D8E" w:rsidRPr="00C06D8E" w:rsidRDefault="00C06D8E" w:rsidP="00AE14B1">
      <w:pPr>
        <w:spacing w:after="0" w:line="240" w:lineRule="auto"/>
        <w:jc w:val="both"/>
        <w:rPr>
          <w:color w:val="000000" w:themeColor="text1"/>
          <w:sz w:val="20"/>
          <w:szCs w:val="20"/>
        </w:rPr>
      </w:pPr>
    </w:p>
    <w:p w14:paraId="4356BE11"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Es de reseñar, que en el curso académico 2019-20, aun estando en la situación excepcional debido al COVID19, se han desarrollado una Sesión Informativa sobre Másteres ofertados en la Facultad de Ciencias de la Universidad de Cádiz para el curso 20-21, que se ha desarrollado de forma virtual, con la participación de todos los coordinadores de Máster y con abierta a todo el alumnado del campus universitario (</w:t>
      </w:r>
      <w:hyperlink r:id="rId47" w:history="1">
        <w:r w:rsidRPr="00C00C23">
          <w:rPr>
            <w:rStyle w:val="Hipervnculo"/>
            <w:sz w:val="20"/>
            <w:szCs w:val="20"/>
          </w:rPr>
          <w:t>https://bit.ly/2WFsseR</w:t>
        </w:r>
      </w:hyperlink>
      <w:r w:rsidRPr="00C06D8E">
        <w:rPr>
          <w:color w:val="000000" w:themeColor="text1"/>
          <w:sz w:val="20"/>
          <w:szCs w:val="20"/>
        </w:rPr>
        <w:t xml:space="preserve">). </w:t>
      </w:r>
    </w:p>
    <w:p w14:paraId="71C66678" w14:textId="77777777" w:rsidR="00C06D8E" w:rsidRPr="00C06D8E" w:rsidRDefault="00C06D8E" w:rsidP="00AE14B1">
      <w:pPr>
        <w:spacing w:after="0" w:line="240" w:lineRule="auto"/>
        <w:jc w:val="both"/>
        <w:rPr>
          <w:color w:val="000000" w:themeColor="text1"/>
          <w:sz w:val="20"/>
          <w:szCs w:val="20"/>
        </w:rPr>
      </w:pPr>
    </w:p>
    <w:p w14:paraId="6355F0B1" w14:textId="77777777" w:rsidR="00C00C23" w:rsidRPr="00C00C23" w:rsidRDefault="00C06D8E" w:rsidP="00AE14B1">
      <w:pPr>
        <w:spacing w:after="0" w:line="240" w:lineRule="auto"/>
        <w:jc w:val="both"/>
        <w:rPr>
          <w:b/>
          <w:color w:val="000000" w:themeColor="text1"/>
          <w:sz w:val="20"/>
          <w:szCs w:val="20"/>
        </w:rPr>
      </w:pPr>
      <w:r w:rsidRPr="00C00C23">
        <w:rPr>
          <w:b/>
          <w:color w:val="000000" w:themeColor="text1"/>
          <w:sz w:val="20"/>
          <w:szCs w:val="20"/>
        </w:rPr>
        <w:t xml:space="preserve">4.- Orientación profesional. </w:t>
      </w:r>
    </w:p>
    <w:p w14:paraId="72FFB41A" w14:textId="13CA289B"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La Universidad de Cádiz cuenta también con un Servicio Universitario al Empleo y, además se organizan cursos y jornadas que pretenden dotar al alumno de recursos y herramientas para planificar la creación y funcionamiento de una empresa, para el compromiso ético profesional y el desarrollo continuo profesional. En el caso de la Facultad de Ciencias de la UCA pueden destacarse las “Jornadas sobre Emprendimiento e Internacionalización: Descubriendo nuevas oportunidades de empleo”, organizadas por la Facultad de Ciencias y la Cátedra Extenda de Internacionalización de la Universidad de Cádiz (1ª edición en diciembre de 2011, 2ª edición en noviembre de 2013, 3ª edición en diciembre de 2014, 4º edición en noviembre de 2015, 5º edición en abril de 2015 y 6ª edición en marzo de 2017) (</w:t>
      </w:r>
      <w:hyperlink r:id="rId48" w:history="1">
        <w:r w:rsidRPr="00C00C23">
          <w:rPr>
            <w:rStyle w:val="Hipervnculo"/>
            <w:sz w:val="20"/>
            <w:szCs w:val="20"/>
          </w:rPr>
          <w:t>https://bit.ly/2BgtDtw; https://bit.ly/2BhW0rk</w:t>
        </w:r>
      </w:hyperlink>
      <w:r w:rsidRPr="00C06D8E">
        <w:rPr>
          <w:color w:val="000000" w:themeColor="text1"/>
          <w:sz w:val="20"/>
          <w:szCs w:val="20"/>
        </w:rPr>
        <w:t>). En la misma línea, El Vicerrectorado de Estudiantes y Empleo de la UCA organiza cada año el Plan Integral de Formación para el Empleo (PIFE). El objetivo principal de este Plan es proporcionar, a través de un itinerario formativo, los recursos necesarios para mejorar la empleabilidad del alumnado matriculado en último curso de Grado y M</w:t>
      </w:r>
      <w:r w:rsidR="00C1432B">
        <w:rPr>
          <w:color w:val="000000" w:themeColor="text1"/>
          <w:sz w:val="20"/>
          <w:szCs w:val="20"/>
        </w:rPr>
        <w:t>á</w:t>
      </w:r>
      <w:r w:rsidRPr="00C06D8E">
        <w:rPr>
          <w:color w:val="000000" w:themeColor="text1"/>
          <w:sz w:val="20"/>
          <w:szCs w:val="20"/>
        </w:rPr>
        <w:t xml:space="preserve">ster, constituyendo un complemento de las competencias profesionales adquiridas en su titulación y en las prácticas curriculares </w:t>
      </w:r>
      <w:hyperlink r:id="rId49" w:history="1">
        <w:r w:rsidRPr="00C1432B">
          <w:rPr>
            <w:rStyle w:val="Hipervnculo"/>
            <w:sz w:val="20"/>
            <w:szCs w:val="20"/>
          </w:rPr>
          <w:t>(https://bit.ly/3jAfgSm</w:t>
        </w:r>
      </w:hyperlink>
      <w:r w:rsidRPr="00C06D8E">
        <w:rPr>
          <w:color w:val="000000" w:themeColor="text1"/>
          <w:sz w:val="20"/>
          <w:szCs w:val="20"/>
        </w:rPr>
        <w:t>). Además, se organizan Ferias de empleo por parte del Centro de Promoción y Empleo de la Universidad (</w:t>
      </w:r>
      <w:hyperlink r:id="rId50" w:history="1">
        <w:r w:rsidR="001C5C8E" w:rsidRPr="001C5C8E">
          <w:rPr>
            <w:rStyle w:val="Hipervnculo"/>
          </w:rPr>
          <w:t>https://www.uca.es/evento/iv-feria-de-empleo-virtual-2021-3/</w:t>
        </w:r>
      </w:hyperlink>
      <w:r w:rsidRPr="00C06D8E">
        <w:rPr>
          <w:color w:val="000000" w:themeColor="text1"/>
          <w:sz w:val="20"/>
          <w:szCs w:val="20"/>
        </w:rPr>
        <w:t xml:space="preserve">). </w:t>
      </w:r>
    </w:p>
    <w:p w14:paraId="56AD48AC" w14:textId="77777777" w:rsidR="00C06D8E" w:rsidRPr="00C06D8E" w:rsidRDefault="00C06D8E" w:rsidP="00AE14B1">
      <w:pPr>
        <w:spacing w:after="0" w:line="240" w:lineRule="auto"/>
        <w:jc w:val="both"/>
        <w:rPr>
          <w:color w:val="000000" w:themeColor="text1"/>
          <w:sz w:val="20"/>
          <w:szCs w:val="20"/>
        </w:rPr>
      </w:pPr>
    </w:p>
    <w:p w14:paraId="50C9D8CF" w14:textId="77777777" w:rsidR="00C06D8E" w:rsidRPr="00C1432B" w:rsidRDefault="00C06D8E" w:rsidP="00AE14B1">
      <w:pPr>
        <w:spacing w:after="0" w:line="240" w:lineRule="auto"/>
        <w:jc w:val="both"/>
        <w:rPr>
          <w:b/>
          <w:color w:val="000000" w:themeColor="text1"/>
          <w:sz w:val="20"/>
          <w:szCs w:val="20"/>
        </w:rPr>
      </w:pPr>
      <w:r w:rsidRPr="00C1432B">
        <w:rPr>
          <w:b/>
          <w:color w:val="000000" w:themeColor="text1"/>
          <w:sz w:val="20"/>
          <w:szCs w:val="20"/>
        </w:rPr>
        <w:t>5.- Adecuación del Personal de Administración y Servicio y del personal de apoyo, en su caso.</w:t>
      </w:r>
    </w:p>
    <w:p w14:paraId="6A8F4D5F"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 xml:space="preserve">La Facultad de Ciencias </w:t>
      </w:r>
      <w:r w:rsidR="00C1432B">
        <w:rPr>
          <w:color w:val="000000" w:themeColor="text1"/>
          <w:sz w:val="20"/>
          <w:szCs w:val="20"/>
        </w:rPr>
        <w:t xml:space="preserve">de la UCA </w:t>
      </w:r>
      <w:r w:rsidRPr="00C06D8E">
        <w:rPr>
          <w:color w:val="000000" w:themeColor="text1"/>
          <w:sz w:val="20"/>
          <w:szCs w:val="20"/>
        </w:rPr>
        <w:t>cuenta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PD.</w:t>
      </w:r>
    </w:p>
    <w:p w14:paraId="16981CFE" w14:textId="77777777" w:rsidR="00C06D8E" w:rsidRPr="00C06D8E" w:rsidRDefault="00C06D8E" w:rsidP="00AE14B1">
      <w:pPr>
        <w:spacing w:after="0" w:line="240" w:lineRule="auto"/>
        <w:jc w:val="both"/>
        <w:rPr>
          <w:color w:val="000000" w:themeColor="text1"/>
          <w:sz w:val="20"/>
          <w:szCs w:val="20"/>
        </w:rPr>
      </w:pPr>
    </w:p>
    <w:p w14:paraId="649CE9D4" w14:textId="77777777" w:rsidR="00C06D8E" w:rsidRPr="00C06D8E" w:rsidRDefault="00C06D8E" w:rsidP="00AE14B1">
      <w:pPr>
        <w:spacing w:after="0" w:line="240" w:lineRule="auto"/>
        <w:jc w:val="both"/>
        <w:rPr>
          <w:color w:val="000000" w:themeColor="text1"/>
          <w:sz w:val="20"/>
          <w:szCs w:val="20"/>
        </w:rPr>
      </w:pPr>
      <w:r w:rsidRPr="00C06D8E">
        <w:rPr>
          <w:color w:val="000000" w:themeColor="text1"/>
          <w:sz w:val="20"/>
          <w:szCs w:val="20"/>
        </w:rPr>
        <w:t>Atendiendo a la estructura organizativa de la Universidad de Cádiz y con el fin de optimizar los recursos humanos de carácter administrativo, el personal de Administración y Servicios no se adscribe a ningún título en concreto, sino que están a disposición de diferentes títulos que se imparten en un Centro, o bien en un Campus Universitario.</w:t>
      </w:r>
    </w:p>
    <w:p w14:paraId="72C354A3" w14:textId="77777777" w:rsidR="00C06D8E" w:rsidRPr="00C06D8E" w:rsidRDefault="00C06D8E" w:rsidP="00AE14B1">
      <w:pPr>
        <w:spacing w:after="0" w:line="240" w:lineRule="auto"/>
        <w:jc w:val="both"/>
        <w:rPr>
          <w:color w:val="000000" w:themeColor="text1"/>
          <w:sz w:val="20"/>
          <w:szCs w:val="20"/>
        </w:rPr>
      </w:pPr>
    </w:p>
    <w:p w14:paraId="0047D2AF" w14:textId="3245D43A" w:rsidR="00195FB7" w:rsidRPr="00F30BA9" w:rsidRDefault="00195FB7" w:rsidP="00195FB7">
      <w:pPr>
        <w:spacing w:after="0" w:line="240" w:lineRule="auto"/>
        <w:jc w:val="both"/>
        <w:rPr>
          <w:color w:val="000000" w:themeColor="text1"/>
          <w:sz w:val="20"/>
          <w:szCs w:val="20"/>
        </w:rPr>
      </w:pPr>
      <w:r w:rsidRPr="00F30BA9">
        <w:rPr>
          <w:color w:val="000000" w:themeColor="text1"/>
          <w:sz w:val="20"/>
          <w:szCs w:val="20"/>
        </w:rPr>
        <w:t>En la U</w:t>
      </w:r>
      <w:r w:rsidR="00F30BA9">
        <w:rPr>
          <w:color w:val="000000" w:themeColor="text1"/>
          <w:sz w:val="20"/>
          <w:szCs w:val="20"/>
        </w:rPr>
        <w:t>niversidad de Córdoba</w:t>
      </w:r>
      <w:r w:rsidRPr="00F30BA9">
        <w:rPr>
          <w:color w:val="000000" w:themeColor="text1"/>
          <w:sz w:val="20"/>
          <w:szCs w:val="20"/>
        </w:rPr>
        <w:t xml:space="preserve">, además del Aula de Teledocencia Avanzada del Edificio Ramón y Cajal, donde se imparte la docencia </w:t>
      </w:r>
      <w:r w:rsidR="00F30BA9">
        <w:rPr>
          <w:color w:val="000000" w:themeColor="text1"/>
          <w:sz w:val="20"/>
          <w:szCs w:val="20"/>
        </w:rPr>
        <w:t xml:space="preserve">presencial </w:t>
      </w:r>
      <w:r w:rsidRPr="00F30BA9">
        <w:rPr>
          <w:color w:val="000000" w:themeColor="text1"/>
          <w:sz w:val="20"/>
          <w:szCs w:val="20"/>
        </w:rPr>
        <w:t xml:space="preserve">del Máster, se dispone de los servicios propios con la Biblioteca “Maimónides” del Campus de Rabanales, situada en uno de los edificios centrales de dicho campus, englobada en el Servicio de </w:t>
      </w:r>
      <w:r w:rsidRPr="00F30BA9">
        <w:rPr>
          <w:color w:val="000000" w:themeColor="text1"/>
          <w:sz w:val="20"/>
          <w:szCs w:val="20"/>
        </w:rPr>
        <w:lastRenderedPageBreak/>
        <w:t>Biblioteca  de la Universidad de Córdoba (UCO), cuya organización y política interna depende orgánicamente de Vicerrectorado de Tecnologías de la I</w:t>
      </w:r>
      <w:r w:rsidR="001C5C8E">
        <w:rPr>
          <w:color w:val="000000" w:themeColor="text1"/>
          <w:sz w:val="20"/>
          <w:szCs w:val="20"/>
        </w:rPr>
        <w:t>nformación y las Comunicaciones</w:t>
      </w:r>
      <w:r w:rsidRPr="00F30BA9">
        <w:rPr>
          <w:color w:val="000000" w:themeColor="text1"/>
          <w:sz w:val="20"/>
          <w:szCs w:val="20"/>
        </w:rPr>
        <w:t xml:space="preserve">. En la Biblioteca Maimónides de la Universidad de Córdoba (BMUCO) se centralizan los servicios y las colecciones bibliográficas y documentales de las titulaciones que son impartidas por 4 centros de la Universidad de Córdoba localizados en el campus: Facultad de Veterinarias, Facultad de Ciencias, Escuela Técnica Superior de Ingeniería Agronómica y de Montes y Escuela Técnica Superior.  </w:t>
      </w:r>
    </w:p>
    <w:p w14:paraId="5E6A4463" w14:textId="77777777" w:rsidR="003E45B0" w:rsidRPr="00F30BA9" w:rsidRDefault="00195FB7" w:rsidP="00195FB7">
      <w:pPr>
        <w:spacing w:after="0" w:line="240" w:lineRule="auto"/>
        <w:jc w:val="both"/>
        <w:rPr>
          <w:color w:val="000000" w:themeColor="text1"/>
          <w:sz w:val="20"/>
          <w:szCs w:val="20"/>
        </w:rPr>
      </w:pPr>
      <w:r w:rsidRPr="00F30BA9">
        <w:rPr>
          <w:color w:val="000000" w:themeColor="text1"/>
          <w:sz w:val="20"/>
          <w:szCs w:val="20"/>
        </w:rPr>
        <w:t>La Biblioteca del Campus de Rabanales tiene una extensión de 10.360 m</w:t>
      </w:r>
      <w:r w:rsidRPr="00F30BA9">
        <w:rPr>
          <w:color w:val="000000" w:themeColor="text1"/>
          <w:sz w:val="20"/>
          <w:szCs w:val="20"/>
          <w:vertAlign w:val="superscript"/>
        </w:rPr>
        <w:t>2</w:t>
      </w:r>
      <w:r w:rsidRPr="00F30BA9">
        <w:rPr>
          <w:color w:val="000000" w:themeColor="text1"/>
          <w:sz w:val="20"/>
          <w:szCs w:val="20"/>
        </w:rPr>
        <w:t xml:space="preserve">, con cobertura WI-FI, con cabida para los Servicios Técnicos y los Servicios al Usuario: Lectura en Libre Acceso, Consulta, Información general, Información especializada, OPACs, Préstamo domiciliario, Referencia y Referencia electrónica, Formación y Actividades de difusión cultural, Biblioteca General, Sala de Prensa y Divulgación con acceso a Prensa electrónica, Hemeroteca en Libre Acceso con enlaces a Revistas y Sumarios electrónicos, Biblioteca electrónica, Acceso al Documento, Documentación, Salas de Trabajo en Grupo, Área de Investigación y Cubículos de Investigación automatizados. Además de los servicios presenciales, la Biblioteca ofrece una amplia gama de servicios virtuales a través de su página web </w:t>
      </w:r>
      <w:hyperlink r:id="rId51" w:history="1">
        <w:r w:rsidR="00447982" w:rsidRPr="00DC3BE6">
          <w:rPr>
            <w:rStyle w:val="Hipervnculo"/>
            <w:sz w:val="20"/>
            <w:szCs w:val="20"/>
          </w:rPr>
          <w:t>http://www.uco.es/webuco/buc/</w:t>
        </w:r>
      </w:hyperlink>
      <w:r w:rsidRPr="00F30BA9">
        <w:rPr>
          <w:color w:val="000000" w:themeColor="text1"/>
          <w:sz w:val="20"/>
          <w:szCs w:val="20"/>
        </w:rPr>
        <w:t>.</w:t>
      </w:r>
      <w:r w:rsidR="00447982">
        <w:rPr>
          <w:color w:val="000000" w:themeColor="text1"/>
          <w:sz w:val="20"/>
          <w:szCs w:val="20"/>
        </w:rPr>
        <w:t xml:space="preserve"> </w:t>
      </w:r>
      <w:r w:rsidRPr="00F30BA9">
        <w:rPr>
          <w:color w:val="000000" w:themeColor="text1"/>
          <w:sz w:val="20"/>
          <w:szCs w:val="20"/>
        </w:rPr>
        <w:t>El Servicio de Hemeroteca, la celebración periódica de exposiciones bibliográficas, la realización de cursos y un servicio de documentación que posibilita el acceso a la información bibliográfica requerida por el usuario a través de Bases de Datos en CD-ROM o en línea, son algunos de los interesantes servicios prestados por la Biblioteca de la Universidad de Córdoba.</w:t>
      </w:r>
    </w:p>
    <w:p w14:paraId="2DCE6861" w14:textId="77777777" w:rsidR="003E45B0" w:rsidRDefault="003E45B0" w:rsidP="00262784">
      <w:pPr>
        <w:spacing w:after="0" w:line="240" w:lineRule="auto"/>
        <w:jc w:val="both"/>
        <w:rPr>
          <w:color w:val="FF0000"/>
          <w:sz w:val="16"/>
        </w:rPr>
      </w:pPr>
    </w:p>
    <w:p w14:paraId="62870E01" w14:textId="77777777" w:rsidR="003E45B0" w:rsidRDefault="003E45B0" w:rsidP="00262784">
      <w:pPr>
        <w:spacing w:after="0" w:line="240" w:lineRule="auto"/>
        <w:jc w:val="both"/>
        <w:rPr>
          <w:color w:val="FF0000"/>
          <w:sz w:val="16"/>
        </w:rPr>
      </w:pPr>
    </w:p>
    <w:p w14:paraId="7231221D" w14:textId="77777777" w:rsidR="003E45B0" w:rsidRPr="0066469D" w:rsidRDefault="003E45B0" w:rsidP="003E45B0">
      <w:pPr>
        <w:spacing w:after="120" w:line="240" w:lineRule="auto"/>
        <w:jc w:val="both"/>
        <w:rPr>
          <w:rFonts w:asciiTheme="minorHAnsi" w:hAnsiTheme="minorHAnsi"/>
          <w:b/>
          <w:i/>
          <w:sz w:val="20"/>
          <w:szCs w:val="20"/>
        </w:rPr>
      </w:pPr>
      <w:r w:rsidRPr="0066469D">
        <w:rPr>
          <w:rFonts w:asciiTheme="minorHAnsi" w:hAnsiTheme="minorHAnsi"/>
          <w:b/>
          <w:i/>
          <w:sz w:val="20"/>
          <w:szCs w:val="20"/>
        </w:rPr>
        <w:t>Apartado COVID</w:t>
      </w:r>
    </w:p>
    <w:p w14:paraId="61F6A5FF" w14:textId="77777777" w:rsidR="003E45B0" w:rsidRPr="0066469D" w:rsidRDefault="003E45B0" w:rsidP="00262784">
      <w:pPr>
        <w:spacing w:after="0" w:line="240" w:lineRule="auto"/>
        <w:jc w:val="both"/>
        <w:rPr>
          <w:i/>
          <w:color w:val="FF0000"/>
          <w:sz w:val="16"/>
        </w:rPr>
      </w:pPr>
    </w:p>
    <w:p w14:paraId="4E4B2464" w14:textId="124D059C" w:rsidR="003E45B0" w:rsidRPr="0066469D" w:rsidRDefault="003E45B0" w:rsidP="003E45B0">
      <w:pPr>
        <w:spacing w:after="12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Con motivo de la Declaración del Estado de Alarma en marzo de 2020, y el consecuente cambio de la docencia presencial a no presencial, desde el Vicerrectorado de Digitalización e Infraestructuras</w:t>
      </w:r>
      <w:r w:rsidR="00447982">
        <w:rPr>
          <w:rFonts w:asciiTheme="minorHAnsi" w:hAnsiTheme="minorHAnsi" w:cstheme="minorHAnsi"/>
          <w:bCs/>
          <w:i/>
          <w:sz w:val="20"/>
          <w:szCs w:val="20"/>
        </w:rPr>
        <w:t xml:space="preserve"> de la UCA</w:t>
      </w:r>
      <w:r w:rsidRPr="0066469D">
        <w:rPr>
          <w:rFonts w:asciiTheme="minorHAnsi" w:hAnsiTheme="minorHAnsi" w:cstheme="minorHAnsi"/>
          <w:bCs/>
          <w:i/>
          <w:sz w:val="20"/>
          <w:szCs w:val="20"/>
        </w:rPr>
        <w:t xml:space="preserve">, se acometieron una serie de actuaciones dirigidas a dar soporte a todo lo que aquel cambio conllevó. A </w:t>
      </w:r>
      <w:r w:rsidR="003E245C" w:rsidRPr="0066469D">
        <w:rPr>
          <w:rFonts w:asciiTheme="minorHAnsi" w:hAnsiTheme="minorHAnsi" w:cstheme="minorHAnsi"/>
          <w:bCs/>
          <w:i/>
          <w:sz w:val="20"/>
          <w:szCs w:val="20"/>
        </w:rPr>
        <w:t>continuación,</w:t>
      </w:r>
      <w:r w:rsidRPr="0066469D">
        <w:rPr>
          <w:rFonts w:asciiTheme="minorHAnsi" w:hAnsiTheme="minorHAnsi" w:cstheme="minorHAnsi"/>
          <w:bCs/>
          <w:i/>
          <w:sz w:val="20"/>
          <w:szCs w:val="20"/>
        </w:rPr>
        <w:t xml:space="preserve"> se indican las más relevantes:</w:t>
      </w:r>
    </w:p>
    <w:p w14:paraId="33BFFABA"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Ampliación del número de instancias del sistema de videoconferencias BigBlueButton. </w:t>
      </w:r>
    </w:p>
    <w:p w14:paraId="670288B6"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Ampliación de la capacidad de acceso a través de VPN.</w:t>
      </w:r>
    </w:p>
    <w:p w14:paraId="67439178"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Teletrabajo. Instrucciones y soporte para: </w:t>
      </w:r>
    </w:p>
    <w:p w14:paraId="2630A341"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Instalación y activación del VPN y conexión en remoto al equipo de trabajo en UCA.</w:t>
      </w:r>
    </w:p>
    <w:p w14:paraId="32F3B55A"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Servicio de préstamos de portátiles para teletrabajo.</w:t>
      </w:r>
    </w:p>
    <w:p w14:paraId="4A811523"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Desviar el teléfono fijo de la UCA al móvil y para la instalación del software 3CX.</w:t>
      </w:r>
    </w:p>
    <w:p w14:paraId="5514B894"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Uso de videoconferencias para realizar reuniones.</w:t>
      </w:r>
    </w:p>
    <w:p w14:paraId="16F9EFF1"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Uso de portafirmas</w:t>
      </w:r>
    </w:p>
    <w:p w14:paraId="0D76B2CA"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Puesta en marcha de la web </w:t>
      </w:r>
      <w:hyperlink r:id="rId52" w:history="1">
        <w:r w:rsidRPr="0066469D">
          <w:rPr>
            <w:rFonts w:asciiTheme="minorHAnsi" w:hAnsiTheme="minorHAnsi" w:cstheme="minorHAnsi"/>
            <w:bCs/>
            <w:i/>
            <w:sz w:val="20"/>
            <w:szCs w:val="20"/>
          </w:rPr>
          <w:t>https://www.uca.es/coronavirus/</w:t>
        </w:r>
      </w:hyperlink>
    </w:p>
    <w:p w14:paraId="1DB5B8BD"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Generar videos para la web de cursos en abierto sobre el uso de la herramienta OBS Studio y la operativa para subirlo a Google Drive.</w:t>
      </w:r>
    </w:p>
    <w:p w14:paraId="5F7CFDD4"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Se adoptó la solución de apartar las tres máquinas virtuales de BBB en un host físico distinto, de forma que el resto del Campus Virtual quedara aparte. </w:t>
      </w:r>
    </w:p>
    <w:p w14:paraId="59229FAE"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Abrir los brokers de VDI de las aulas incrementando el número de puestos virtuales hasta lo posible. </w:t>
      </w:r>
    </w:p>
    <w:p w14:paraId="2054C51B"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Abrir los puertos de los equipos de conexión (tráfico cifrado) e instalar tuneladores para permitir que se conecten sin VPN tanto el alumnado como el PDI.</w:t>
      </w:r>
    </w:p>
    <w:p w14:paraId="6F1A700D"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Desarrollo de un sistema de regeneración de claves automática, de forma que el usuario no tenga que presentarse en las instalaciones físicamente para identificarse https://control.uca.es/regeneracionclave.html</w:t>
      </w:r>
    </w:p>
    <w:p w14:paraId="64499B5B"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BIGBLUEBUTTON :</w:t>
      </w:r>
    </w:p>
    <w:p w14:paraId="76D9DCFA"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De 1 servidor a 5. </w:t>
      </w:r>
      <w:r w:rsidRPr="0066469D">
        <w:rPr>
          <w:rFonts w:asciiTheme="minorHAnsi" w:hAnsiTheme="minorHAnsi" w:cstheme="minorHAnsi"/>
          <w:bCs/>
          <w:i/>
          <w:sz w:val="20"/>
          <w:szCs w:val="20"/>
        </w:rPr>
        <w:sym w:font="Wingdings" w:char="F0E0"/>
      </w:r>
      <w:r w:rsidRPr="0066469D">
        <w:rPr>
          <w:rFonts w:asciiTheme="minorHAnsi" w:hAnsiTheme="minorHAnsi" w:cstheme="minorHAnsi"/>
          <w:bCs/>
          <w:i/>
          <w:sz w:val="20"/>
          <w:szCs w:val="20"/>
        </w:rPr>
        <w:t xml:space="preserve"> 500%</w:t>
      </w:r>
    </w:p>
    <w:p w14:paraId="1EFF6ABE"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De 4 CPU a 76. </w:t>
      </w:r>
      <w:r w:rsidRPr="0066469D">
        <w:rPr>
          <w:rFonts w:asciiTheme="minorHAnsi" w:hAnsiTheme="minorHAnsi" w:cstheme="minorHAnsi"/>
          <w:bCs/>
          <w:i/>
          <w:sz w:val="20"/>
          <w:szCs w:val="20"/>
        </w:rPr>
        <w:sym w:font="Wingdings" w:char="F0E0"/>
      </w:r>
      <w:r w:rsidRPr="0066469D">
        <w:rPr>
          <w:rFonts w:asciiTheme="minorHAnsi" w:hAnsiTheme="minorHAnsi" w:cstheme="minorHAnsi"/>
          <w:bCs/>
          <w:i/>
          <w:sz w:val="20"/>
          <w:szCs w:val="20"/>
        </w:rPr>
        <w:t xml:space="preserve"> 1900%</w:t>
      </w:r>
    </w:p>
    <w:p w14:paraId="47AEC1AE"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De 8 GB RAM a 490 GB. </w:t>
      </w:r>
      <w:r w:rsidRPr="0066469D">
        <w:rPr>
          <w:rFonts w:asciiTheme="minorHAnsi" w:hAnsiTheme="minorHAnsi" w:cstheme="minorHAnsi"/>
          <w:bCs/>
          <w:i/>
          <w:sz w:val="20"/>
          <w:szCs w:val="20"/>
        </w:rPr>
        <w:sym w:font="Wingdings" w:char="F0E0"/>
      </w:r>
      <w:r w:rsidRPr="0066469D">
        <w:rPr>
          <w:rFonts w:asciiTheme="minorHAnsi" w:hAnsiTheme="minorHAnsi" w:cstheme="minorHAnsi"/>
          <w:bCs/>
          <w:i/>
          <w:sz w:val="20"/>
          <w:szCs w:val="20"/>
        </w:rPr>
        <w:t xml:space="preserve"> 6125%</w:t>
      </w:r>
    </w:p>
    <w:p w14:paraId="16491511"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CAPACIDAD DE ALMACENAMIENTO DE FICHEROS EN LAS PLATAFORMA MOODLE</w:t>
      </w:r>
    </w:p>
    <w:p w14:paraId="0CB9F363"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De 1.7 TB a 5 TB. </w:t>
      </w:r>
      <w:r w:rsidRPr="0066469D">
        <w:rPr>
          <w:rFonts w:asciiTheme="minorHAnsi" w:hAnsiTheme="minorHAnsi" w:cstheme="minorHAnsi"/>
          <w:bCs/>
          <w:i/>
          <w:sz w:val="20"/>
          <w:szCs w:val="20"/>
        </w:rPr>
        <w:sym w:font="Wingdings" w:char="F0E0"/>
      </w:r>
      <w:r w:rsidRPr="0066469D">
        <w:rPr>
          <w:rFonts w:asciiTheme="minorHAnsi" w:hAnsiTheme="minorHAnsi" w:cstheme="minorHAnsi"/>
          <w:bCs/>
          <w:i/>
          <w:sz w:val="20"/>
          <w:szCs w:val="20"/>
        </w:rPr>
        <w:t xml:space="preserve"> 294%</w:t>
      </w:r>
    </w:p>
    <w:p w14:paraId="1EFDA3AA"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CAPACIDAD DE CONEXIONES AL PORTAL DE CV Y A LAS PLATAFORMAS MOODLE</w:t>
      </w:r>
    </w:p>
    <w:p w14:paraId="037C698F"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Prácticamente se ha duplicado la capacidad</w:t>
      </w:r>
    </w:p>
    <w:p w14:paraId="56EA3A49"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CAPACIDAD DE CONEXIONES SIMULTÁNEAS A LAS BBDD DEL PORTAL CV Y PLATAFORMAS MOODLE</w:t>
      </w:r>
    </w:p>
    <w:p w14:paraId="72CAEA38"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En el Portal CV: de 100 conexiones simultáneas a 300 </w:t>
      </w:r>
      <w:r w:rsidRPr="0066469D">
        <w:rPr>
          <w:rFonts w:asciiTheme="minorHAnsi" w:hAnsiTheme="minorHAnsi" w:cstheme="minorHAnsi"/>
          <w:bCs/>
          <w:i/>
          <w:sz w:val="20"/>
          <w:szCs w:val="20"/>
        </w:rPr>
        <w:sym w:font="Wingdings" w:char="F0E0"/>
      </w:r>
      <w:r w:rsidRPr="0066469D">
        <w:rPr>
          <w:rFonts w:asciiTheme="minorHAnsi" w:hAnsiTheme="minorHAnsi" w:cstheme="minorHAnsi"/>
          <w:bCs/>
          <w:i/>
          <w:sz w:val="20"/>
          <w:szCs w:val="20"/>
        </w:rPr>
        <w:t xml:space="preserve"> 300 %</w:t>
      </w:r>
    </w:p>
    <w:p w14:paraId="6D884F2A"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 xml:space="preserve">En Moodle: de 850 conexiones simultáneas a 3000   </w:t>
      </w:r>
      <w:r w:rsidRPr="0066469D">
        <w:rPr>
          <w:rFonts w:asciiTheme="minorHAnsi" w:hAnsiTheme="minorHAnsi" w:cstheme="minorHAnsi"/>
          <w:bCs/>
          <w:i/>
          <w:sz w:val="20"/>
          <w:szCs w:val="20"/>
        </w:rPr>
        <w:sym w:font="Wingdings" w:char="F0E0"/>
      </w:r>
      <w:r w:rsidRPr="0066469D">
        <w:rPr>
          <w:rFonts w:asciiTheme="minorHAnsi" w:hAnsiTheme="minorHAnsi" w:cstheme="minorHAnsi"/>
          <w:bCs/>
          <w:i/>
          <w:sz w:val="20"/>
          <w:szCs w:val="20"/>
        </w:rPr>
        <w:t xml:space="preserve"> 353 % </w:t>
      </w:r>
    </w:p>
    <w:p w14:paraId="215202F5"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Se realiza una reorganización del CV, pasando de 3 ramas a 4.</w:t>
      </w:r>
    </w:p>
    <w:p w14:paraId="62483EDA"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lastRenderedPageBreak/>
        <w:t>Se sustituye BBB por Google Meet.</w:t>
      </w:r>
    </w:p>
    <w:p w14:paraId="08A026D6"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Se desarrolla un plugin para integrar Google Meet con Moodle.</w:t>
      </w:r>
    </w:p>
    <w:p w14:paraId="02FE99F7" w14:textId="77777777" w:rsidR="003E45B0" w:rsidRPr="0066469D" w:rsidRDefault="003E45B0" w:rsidP="00B416FA">
      <w:pPr>
        <w:pStyle w:val="Prrafodelista"/>
        <w:numPr>
          <w:ilvl w:val="0"/>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Audiovisuales:</w:t>
      </w:r>
    </w:p>
    <w:p w14:paraId="7C65515F"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Se procede a equipar a las aulas de cámaras para posibilitar una docencia mixta presencial/online.</w:t>
      </w:r>
    </w:p>
    <w:p w14:paraId="55EFB601"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Cs/>
          <w:i/>
          <w:sz w:val="20"/>
          <w:szCs w:val="20"/>
        </w:rPr>
      </w:pPr>
      <w:r w:rsidRPr="0066469D">
        <w:rPr>
          <w:rFonts w:asciiTheme="minorHAnsi" w:hAnsiTheme="minorHAnsi" w:cstheme="minorHAnsi"/>
          <w:bCs/>
          <w:i/>
          <w:sz w:val="20"/>
          <w:szCs w:val="20"/>
        </w:rPr>
        <w:t>Durante el mes de julio se realizan las pruebas y durante el mes de septiembre se procede a la instalación.</w:t>
      </w:r>
    </w:p>
    <w:p w14:paraId="682624F2" w14:textId="77777777" w:rsidR="003E45B0" w:rsidRPr="0066469D" w:rsidRDefault="003E45B0" w:rsidP="00B416FA">
      <w:pPr>
        <w:pStyle w:val="Prrafodelista"/>
        <w:numPr>
          <w:ilvl w:val="1"/>
          <w:numId w:val="4"/>
        </w:numPr>
        <w:autoSpaceDE w:val="0"/>
        <w:autoSpaceDN w:val="0"/>
        <w:adjustRightInd w:val="0"/>
        <w:spacing w:after="0" w:line="240" w:lineRule="auto"/>
        <w:jc w:val="both"/>
        <w:rPr>
          <w:rFonts w:asciiTheme="minorHAnsi" w:hAnsiTheme="minorHAnsi" w:cstheme="minorHAnsi"/>
          <w:b/>
          <w:bCs/>
          <w:i/>
          <w:sz w:val="20"/>
          <w:szCs w:val="20"/>
        </w:rPr>
      </w:pPr>
      <w:r w:rsidRPr="0066469D">
        <w:rPr>
          <w:rFonts w:asciiTheme="minorHAnsi" w:hAnsiTheme="minorHAnsi" w:cstheme="minorHAnsi"/>
          <w:bCs/>
          <w:i/>
          <w:sz w:val="20"/>
          <w:szCs w:val="20"/>
        </w:rPr>
        <w:t>Se cumple el plazo de instalación y a fecha 30 de septiembre están equipadas 200 aulas en los 4 campus</w:t>
      </w:r>
      <w:r w:rsidRPr="0066469D">
        <w:rPr>
          <w:rFonts w:asciiTheme="minorHAnsi" w:hAnsiTheme="minorHAnsi" w:cstheme="minorHAnsi"/>
          <w:b/>
          <w:bCs/>
          <w:i/>
          <w:sz w:val="20"/>
          <w:szCs w:val="20"/>
        </w:rPr>
        <w:t>.</w:t>
      </w:r>
    </w:p>
    <w:p w14:paraId="1A6436ED" w14:textId="77777777" w:rsidR="003E45B0" w:rsidRDefault="003E45B0" w:rsidP="003E45B0">
      <w:pPr>
        <w:spacing w:after="120" w:line="240" w:lineRule="auto"/>
        <w:jc w:val="both"/>
        <w:rPr>
          <w:rFonts w:asciiTheme="minorHAnsi" w:hAnsiTheme="minorHAnsi" w:cstheme="minorHAnsi"/>
          <w:b/>
          <w:bCs/>
          <w:sz w:val="20"/>
          <w:szCs w:val="20"/>
        </w:rPr>
      </w:pPr>
    </w:p>
    <w:p w14:paraId="119BE1DD" w14:textId="77777777" w:rsidR="003E45B0" w:rsidRDefault="003E45B0" w:rsidP="003E45B0">
      <w:pPr>
        <w:spacing w:after="120" w:line="240" w:lineRule="auto"/>
        <w:jc w:val="both"/>
        <w:rPr>
          <w:rFonts w:asciiTheme="minorHAnsi" w:hAnsiTheme="minorHAnsi" w:cstheme="minorHAnsi"/>
          <w:b/>
          <w:bCs/>
          <w:sz w:val="20"/>
          <w:szCs w:val="20"/>
        </w:rPr>
      </w:pPr>
    </w:p>
    <w:p w14:paraId="2434A4DE" w14:textId="77777777" w:rsidR="003E45B0" w:rsidRPr="00A17929" w:rsidRDefault="003E45B0" w:rsidP="003E45B0">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037BD7" w14:paraId="761FA0B9" w14:textId="77777777" w:rsidTr="00D135EE">
        <w:trPr>
          <w:jc w:val="center"/>
        </w:trPr>
        <w:tc>
          <w:tcPr>
            <w:tcW w:w="5000" w:type="pct"/>
            <w:shd w:val="clear" w:color="auto" w:fill="00607C"/>
          </w:tcPr>
          <w:p w14:paraId="12A59A5D" w14:textId="77777777" w:rsidR="003E45B0" w:rsidRPr="00037BD7" w:rsidRDefault="003E45B0" w:rsidP="00D135EE">
            <w:pPr>
              <w:spacing w:after="0" w:line="240" w:lineRule="auto"/>
              <w:jc w:val="both"/>
              <w:rPr>
                <w:b/>
                <w:i/>
                <w:color w:val="FFFFFF"/>
                <w:sz w:val="20"/>
                <w:szCs w:val="20"/>
              </w:rPr>
            </w:pPr>
            <w:r w:rsidRPr="00037BD7">
              <w:rPr>
                <w:b/>
                <w:i/>
                <w:color w:val="FFFFFF"/>
                <w:sz w:val="20"/>
                <w:szCs w:val="20"/>
              </w:rPr>
              <w:t>Puntos Fuertes:</w:t>
            </w:r>
          </w:p>
        </w:tc>
      </w:tr>
      <w:tr w:rsidR="003E45B0" w:rsidRPr="00037BD7" w14:paraId="79E57ED3" w14:textId="77777777" w:rsidTr="00D135EE">
        <w:trPr>
          <w:jc w:val="center"/>
        </w:trPr>
        <w:tc>
          <w:tcPr>
            <w:tcW w:w="5000" w:type="pct"/>
            <w:tcBorders>
              <w:bottom w:val="single" w:sz="4" w:space="0" w:color="auto"/>
            </w:tcBorders>
          </w:tcPr>
          <w:p w14:paraId="2FC08638" w14:textId="77777777" w:rsidR="004D768B" w:rsidRDefault="000E6A52" w:rsidP="009B7F1B">
            <w:pPr>
              <w:autoSpaceDE w:val="0"/>
              <w:autoSpaceDN w:val="0"/>
              <w:adjustRightInd w:val="0"/>
              <w:spacing w:after="0" w:line="240" w:lineRule="auto"/>
              <w:jc w:val="both"/>
              <w:rPr>
                <w:sz w:val="18"/>
              </w:rPr>
            </w:pPr>
            <w:r>
              <w:rPr>
                <w:sz w:val="18"/>
              </w:rPr>
              <w:t xml:space="preserve">2020/21: </w:t>
            </w:r>
          </w:p>
          <w:p w14:paraId="6A439C78" w14:textId="72349B35" w:rsidR="003E45B0" w:rsidRDefault="004D768B" w:rsidP="004D768B">
            <w:pPr>
              <w:pStyle w:val="Prrafodelista"/>
              <w:numPr>
                <w:ilvl w:val="0"/>
                <w:numId w:val="8"/>
              </w:numPr>
              <w:autoSpaceDE w:val="0"/>
              <w:autoSpaceDN w:val="0"/>
              <w:adjustRightInd w:val="0"/>
              <w:spacing w:after="0" w:line="240" w:lineRule="auto"/>
              <w:jc w:val="both"/>
              <w:rPr>
                <w:sz w:val="18"/>
              </w:rPr>
            </w:pPr>
            <w:r>
              <w:rPr>
                <w:sz w:val="18"/>
              </w:rPr>
              <w:t>Adecuada i</w:t>
            </w:r>
            <w:r w:rsidR="000E6A52" w:rsidRPr="00AE14B1">
              <w:rPr>
                <w:sz w:val="18"/>
              </w:rPr>
              <w:t xml:space="preserve">nfraestructura para </w:t>
            </w:r>
            <w:r>
              <w:rPr>
                <w:sz w:val="18"/>
              </w:rPr>
              <w:t>el desarrollo del programa formativo</w:t>
            </w:r>
            <w:r w:rsidR="009E54F6">
              <w:rPr>
                <w:sz w:val="18"/>
              </w:rPr>
              <w:t xml:space="preserve">, tanto para la docencia presencial como </w:t>
            </w:r>
            <w:r w:rsidR="000E6A52" w:rsidRPr="00AE14B1">
              <w:rPr>
                <w:sz w:val="18"/>
              </w:rPr>
              <w:t xml:space="preserve">presencial síncrona. </w:t>
            </w:r>
          </w:p>
          <w:p w14:paraId="3665C93A" w14:textId="4615B14A" w:rsidR="009E54F6" w:rsidRPr="00AE14B1" w:rsidRDefault="009E54F6" w:rsidP="00AE14B1">
            <w:pPr>
              <w:pStyle w:val="Prrafodelista"/>
              <w:numPr>
                <w:ilvl w:val="0"/>
                <w:numId w:val="8"/>
              </w:numPr>
              <w:autoSpaceDE w:val="0"/>
              <w:autoSpaceDN w:val="0"/>
              <w:adjustRightInd w:val="0"/>
              <w:spacing w:after="0" w:line="240" w:lineRule="auto"/>
              <w:jc w:val="both"/>
              <w:rPr>
                <w:sz w:val="18"/>
              </w:rPr>
            </w:pPr>
            <w:r>
              <w:rPr>
                <w:sz w:val="18"/>
              </w:rPr>
              <w:t>Alto grado de satisfacción de los estudiantes y profesorado con las infraestructuras.</w:t>
            </w:r>
          </w:p>
        </w:tc>
      </w:tr>
    </w:tbl>
    <w:p w14:paraId="743F4CCD" w14:textId="77777777" w:rsidR="003E45B0" w:rsidRDefault="003E45B0" w:rsidP="003E45B0">
      <w:pPr>
        <w:spacing w:after="120" w:line="240" w:lineRule="auto"/>
        <w:jc w:val="both"/>
        <w:rPr>
          <w:rFonts w:asciiTheme="minorHAnsi" w:hAnsiTheme="minorHAnsi"/>
          <w:bCs/>
          <w:sz w:val="20"/>
          <w:szCs w:val="20"/>
        </w:rPr>
      </w:pPr>
    </w:p>
    <w:p w14:paraId="3B7240E5" w14:textId="77777777" w:rsidR="00FE670B" w:rsidRDefault="00FE670B" w:rsidP="003E45B0">
      <w:pPr>
        <w:pStyle w:val="Default"/>
        <w:jc w:val="both"/>
        <w:rPr>
          <w:rStyle w:val="Hipervnculo"/>
          <w:rFonts w:asciiTheme="minorHAnsi" w:hAnsiTheme="minorHAnsi" w:cstheme="minorHAnsi"/>
          <w:b/>
          <w:sz w:val="16"/>
          <w:szCs w:val="16"/>
        </w:rPr>
      </w:pPr>
    </w:p>
    <w:p w14:paraId="293064BD" w14:textId="77777777" w:rsidR="00FE670B" w:rsidRDefault="00FE670B" w:rsidP="003E45B0">
      <w:pPr>
        <w:pStyle w:val="Default"/>
        <w:jc w:val="both"/>
        <w:rPr>
          <w:rStyle w:val="Hipervnculo"/>
          <w:rFonts w:asciiTheme="minorHAnsi" w:hAnsiTheme="minorHAnsi" w:cstheme="minorHAnsi"/>
          <w:b/>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3FBABF57" w14:textId="77777777" w:rsidTr="003E45B0">
        <w:trPr>
          <w:jc w:val="center"/>
        </w:trPr>
        <w:tc>
          <w:tcPr>
            <w:tcW w:w="5000" w:type="pct"/>
            <w:shd w:val="clear" w:color="auto" w:fill="D9D9D9"/>
          </w:tcPr>
          <w:p w14:paraId="40956E71" w14:textId="77777777" w:rsidR="00123C41" w:rsidRPr="000C41E0" w:rsidRDefault="00123C41" w:rsidP="00B416FA">
            <w:pPr>
              <w:pStyle w:val="Prrafodelista"/>
              <w:numPr>
                <w:ilvl w:val="0"/>
                <w:numId w:val="3"/>
              </w:numPr>
              <w:spacing w:before="60" w:after="60" w:line="240" w:lineRule="auto"/>
              <w:ind w:left="300" w:hanging="357"/>
              <w:contextualSpacing w:val="0"/>
              <w:rPr>
                <w:b/>
                <w:i/>
              </w:rPr>
            </w:pPr>
            <w:r>
              <w:rPr>
                <w:b/>
                <w:i/>
              </w:rPr>
              <w:t>RESULTADOS E INDICADORES</w:t>
            </w:r>
          </w:p>
        </w:tc>
      </w:tr>
    </w:tbl>
    <w:p w14:paraId="34253D3C" w14:textId="77777777" w:rsidR="003E45B0" w:rsidRDefault="003E45B0" w:rsidP="00BB1529">
      <w:pPr>
        <w:spacing w:after="0"/>
        <w:rPr>
          <w:sz w:val="18"/>
        </w:rPr>
      </w:pPr>
    </w:p>
    <w:p w14:paraId="13AAF759" w14:textId="77777777" w:rsidR="00BB1529" w:rsidRDefault="00BB1529" w:rsidP="00BB1529">
      <w:pPr>
        <w:spacing w:after="0"/>
        <w:rPr>
          <w:sz w:val="18"/>
        </w:rPr>
      </w:pPr>
    </w:p>
    <w:p w14:paraId="20DFCEED" w14:textId="77777777" w:rsidR="003E45B0" w:rsidRPr="00BD7414" w:rsidRDefault="003E45B0" w:rsidP="003E45B0">
      <w:pPr>
        <w:spacing w:after="0" w:line="240" w:lineRule="auto"/>
        <w:jc w:val="both"/>
        <w:rPr>
          <w:rFonts w:asciiTheme="minorHAnsi" w:hAnsiTheme="minorHAnsi"/>
          <w:color w:val="FFFFFF"/>
        </w:rPr>
      </w:pPr>
      <w:r w:rsidRPr="00C71BAF">
        <w:rPr>
          <w:rFonts w:asciiTheme="minorHAnsi" w:hAnsiTheme="minorHAnsi"/>
          <w:b/>
          <w:i/>
        </w:rPr>
        <w:t>Análisis y Valoración:</w:t>
      </w:r>
    </w:p>
    <w:p w14:paraId="45121969" w14:textId="77777777" w:rsidR="003E45B0" w:rsidRPr="00A946E3" w:rsidRDefault="003E45B0" w:rsidP="003E45B0">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5215"/>
        <w:gridCol w:w="787"/>
        <w:gridCol w:w="786"/>
        <w:gridCol w:w="786"/>
        <w:gridCol w:w="786"/>
        <w:gridCol w:w="785"/>
      </w:tblGrid>
      <w:tr w:rsidR="001D093C" w:rsidRPr="009E54F6" w14:paraId="456101B8" w14:textId="77777777" w:rsidTr="009A2A76">
        <w:trPr>
          <w:trHeight w:val="600"/>
        </w:trPr>
        <w:tc>
          <w:tcPr>
            <w:tcW w:w="285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265BDA4"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INDICADOR (TITULO)</w:t>
            </w:r>
          </w:p>
        </w:tc>
        <w:tc>
          <w:tcPr>
            <w:tcW w:w="430" w:type="pct"/>
            <w:tcBorders>
              <w:top w:val="single" w:sz="4" w:space="0" w:color="auto"/>
              <w:left w:val="nil"/>
              <w:bottom w:val="single" w:sz="4" w:space="0" w:color="auto"/>
              <w:right w:val="single" w:sz="4" w:space="0" w:color="auto"/>
            </w:tcBorders>
            <w:shd w:val="clear" w:color="000000" w:fill="1F497D"/>
            <w:vAlign w:val="center"/>
            <w:hideMark/>
          </w:tcPr>
          <w:p w14:paraId="74291704"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2016-2017</w:t>
            </w:r>
          </w:p>
        </w:tc>
        <w:tc>
          <w:tcPr>
            <w:tcW w:w="430" w:type="pct"/>
            <w:tcBorders>
              <w:top w:val="single" w:sz="4" w:space="0" w:color="auto"/>
              <w:left w:val="nil"/>
              <w:bottom w:val="single" w:sz="4" w:space="0" w:color="auto"/>
              <w:right w:val="single" w:sz="4" w:space="0" w:color="auto"/>
            </w:tcBorders>
            <w:shd w:val="clear" w:color="000000" w:fill="1F497D"/>
            <w:vAlign w:val="center"/>
            <w:hideMark/>
          </w:tcPr>
          <w:p w14:paraId="6764D782"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2017-2018</w:t>
            </w:r>
          </w:p>
        </w:tc>
        <w:tc>
          <w:tcPr>
            <w:tcW w:w="430" w:type="pct"/>
            <w:tcBorders>
              <w:top w:val="single" w:sz="4" w:space="0" w:color="auto"/>
              <w:left w:val="nil"/>
              <w:bottom w:val="single" w:sz="4" w:space="0" w:color="auto"/>
              <w:right w:val="single" w:sz="4" w:space="0" w:color="auto"/>
            </w:tcBorders>
            <w:shd w:val="clear" w:color="000000" w:fill="1F497D"/>
            <w:vAlign w:val="center"/>
            <w:hideMark/>
          </w:tcPr>
          <w:p w14:paraId="22AC752A"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2018-2019</w:t>
            </w:r>
          </w:p>
        </w:tc>
        <w:tc>
          <w:tcPr>
            <w:tcW w:w="430" w:type="pct"/>
            <w:tcBorders>
              <w:top w:val="single" w:sz="4" w:space="0" w:color="auto"/>
              <w:left w:val="nil"/>
              <w:bottom w:val="single" w:sz="4" w:space="0" w:color="auto"/>
              <w:right w:val="single" w:sz="4" w:space="0" w:color="auto"/>
            </w:tcBorders>
            <w:shd w:val="clear" w:color="000000" w:fill="1F497D"/>
            <w:vAlign w:val="center"/>
            <w:hideMark/>
          </w:tcPr>
          <w:p w14:paraId="4D17850E"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2019-2020</w:t>
            </w:r>
          </w:p>
        </w:tc>
        <w:tc>
          <w:tcPr>
            <w:tcW w:w="430" w:type="pct"/>
            <w:tcBorders>
              <w:top w:val="single" w:sz="4" w:space="0" w:color="auto"/>
              <w:left w:val="nil"/>
              <w:bottom w:val="nil"/>
              <w:right w:val="single" w:sz="4" w:space="0" w:color="auto"/>
            </w:tcBorders>
            <w:shd w:val="clear" w:color="000000" w:fill="1F497D"/>
            <w:vAlign w:val="center"/>
            <w:hideMark/>
          </w:tcPr>
          <w:p w14:paraId="1A5837CA"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2020-2021</w:t>
            </w:r>
          </w:p>
        </w:tc>
      </w:tr>
      <w:tr w:rsidR="000A3D7E" w:rsidRPr="009E54F6" w14:paraId="5E79093A"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BD8AB"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ISGC-P07-01_01: Tasa de respuesta de la encuesta para el análisis de la satisfacción. Alumnado</w:t>
            </w:r>
          </w:p>
        </w:tc>
        <w:tc>
          <w:tcPr>
            <w:tcW w:w="430" w:type="pct"/>
            <w:tcBorders>
              <w:top w:val="nil"/>
              <w:left w:val="nil"/>
              <w:bottom w:val="single" w:sz="4" w:space="0" w:color="auto"/>
              <w:right w:val="single" w:sz="4" w:space="0" w:color="auto"/>
            </w:tcBorders>
            <w:shd w:val="clear" w:color="auto" w:fill="auto"/>
            <w:noWrap/>
            <w:hideMark/>
          </w:tcPr>
          <w:p w14:paraId="5103F66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54,29%</w:t>
            </w:r>
          </w:p>
        </w:tc>
        <w:tc>
          <w:tcPr>
            <w:tcW w:w="430" w:type="pct"/>
            <w:tcBorders>
              <w:top w:val="nil"/>
              <w:left w:val="nil"/>
              <w:bottom w:val="single" w:sz="4" w:space="0" w:color="auto"/>
              <w:right w:val="single" w:sz="4" w:space="0" w:color="auto"/>
            </w:tcBorders>
            <w:shd w:val="clear" w:color="auto" w:fill="auto"/>
            <w:noWrap/>
            <w:hideMark/>
          </w:tcPr>
          <w:p w14:paraId="200FD46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20%</w:t>
            </w:r>
          </w:p>
        </w:tc>
        <w:tc>
          <w:tcPr>
            <w:tcW w:w="430" w:type="pct"/>
            <w:tcBorders>
              <w:top w:val="nil"/>
              <w:left w:val="nil"/>
              <w:bottom w:val="single" w:sz="4" w:space="0" w:color="auto"/>
              <w:right w:val="single" w:sz="4" w:space="0" w:color="auto"/>
            </w:tcBorders>
            <w:shd w:val="clear" w:color="auto" w:fill="auto"/>
            <w:noWrap/>
            <w:hideMark/>
          </w:tcPr>
          <w:p w14:paraId="1A548C9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24,49%</w:t>
            </w:r>
          </w:p>
        </w:tc>
        <w:tc>
          <w:tcPr>
            <w:tcW w:w="430" w:type="pct"/>
            <w:tcBorders>
              <w:top w:val="nil"/>
              <w:left w:val="nil"/>
              <w:bottom w:val="single" w:sz="4" w:space="0" w:color="auto"/>
              <w:right w:val="single" w:sz="4" w:space="0" w:color="auto"/>
            </w:tcBorders>
            <w:shd w:val="clear" w:color="000000" w:fill="FFFFFF"/>
            <w:noWrap/>
            <w:hideMark/>
          </w:tcPr>
          <w:p w14:paraId="38A1A15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13,33%</w:t>
            </w:r>
          </w:p>
        </w:tc>
        <w:tc>
          <w:tcPr>
            <w:tcW w:w="430" w:type="pct"/>
            <w:tcBorders>
              <w:top w:val="nil"/>
              <w:left w:val="nil"/>
              <w:bottom w:val="single" w:sz="4" w:space="0" w:color="auto"/>
              <w:right w:val="single" w:sz="4" w:space="0" w:color="auto"/>
            </w:tcBorders>
            <w:shd w:val="clear" w:color="000000" w:fill="FFFFFF"/>
            <w:noWrap/>
            <w:hideMark/>
          </w:tcPr>
          <w:p w14:paraId="2BB8754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47,62%</w:t>
            </w:r>
          </w:p>
        </w:tc>
      </w:tr>
      <w:tr w:rsidR="000A3D7E" w:rsidRPr="009E54F6" w14:paraId="20396B19"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D261"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ISGC-P07-01_02: Tasa de respuesta de la encuesta para el análisis de la satisfacción. PDI</w:t>
            </w:r>
          </w:p>
        </w:tc>
        <w:tc>
          <w:tcPr>
            <w:tcW w:w="430" w:type="pct"/>
            <w:tcBorders>
              <w:top w:val="nil"/>
              <w:left w:val="nil"/>
              <w:bottom w:val="single" w:sz="4" w:space="0" w:color="auto"/>
              <w:right w:val="single" w:sz="4" w:space="0" w:color="auto"/>
            </w:tcBorders>
            <w:shd w:val="clear" w:color="auto" w:fill="auto"/>
            <w:noWrap/>
            <w:hideMark/>
          </w:tcPr>
          <w:p w14:paraId="648ACB0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3B9C763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33,33%</w:t>
            </w:r>
          </w:p>
        </w:tc>
        <w:tc>
          <w:tcPr>
            <w:tcW w:w="430" w:type="pct"/>
            <w:tcBorders>
              <w:top w:val="nil"/>
              <w:left w:val="nil"/>
              <w:bottom w:val="single" w:sz="4" w:space="0" w:color="auto"/>
              <w:right w:val="single" w:sz="4" w:space="0" w:color="auto"/>
            </w:tcBorders>
            <w:shd w:val="clear" w:color="auto" w:fill="auto"/>
            <w:noWrap/>
            <w:hideMark/>
          </w:tcPr>
          <w:p w14:paraId="7C6FA9D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47,5%</w:t>
            </w:r>
          </w:p>
        </w:tc>
        <w:tc>
          <w:tcPr>
            <w:tcW w:w="430" w:type="pct"/>
            <w:tcBorders>
              <w:top w:val="nil"/>
              <w:left w:val="nil"/>
              <w:bottom w:val="single" w:sz="4" w:space="0" w:color="auto"/>
              <w:right w:val="single" w:sz="4" w:space="0" w:color="auto"/>
            </w:tcBorders>
            <w:shd w:val="clear" w:color="000000" w:fill="FFFFFF"/>
            <w:noWrap/>
            <w:hideMark/>
          </w:tcPr>
          <w:p w14:paraId="62D38E1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31,91%</w:t>
            </w:r>
          </w:p>
        </w:tc>
        <w:tc>
          <w:tcPr>
            <w:tcW w:w="430" w:type="pct"/>
            <w:tcBorders>
              <w:top w:val="nil"/>
              <w:left w:val="nil"/>
              <w:bottom w:val="single" w:sz="4" w:space="0" w:color="auto"/>
              <w:right w:val="single" w:sz="4" w:space="0" w:color="auto"/>
            </w:tcBorders>
            <w:shd w:val="clear" w:color="000000" w:fill="FFFFFF"/>
            <w:noWrap/>
            <w:hideMark/>
          </w:tcPr>
          <w:p w14:paraId="68FF2B9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45,83%</w:t>
            </w:r>
          </w:p>
        </w:tc>
      </w:tr>
      <w:tr w:rsidR="000A3D7E" w:rsidRPr="009E54F6" w14:paraId="7D7F37F1"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E6CFB"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ISGC-P07-01_03: Tasa de respuesta de la encuesta para el análisis de la satisfacción. Egresados</w:t>
            </w:r>
          </w:p>
        </w:tc>
        <w:tc>
          <w:tcPr>
            <w:tcW w:w="430" w:type="pct"/>
            <w:tcBorders>
              <w:top w:val="nil"/>
              <w:left w:val="nil"/>
              <w:bottom w:val="single" w:sz="4" w:space="0" w:color="auto"/>
              <w:right w:val="single" w:sz="4" w:space="0" w:color="auto"/>
            </w:tcBorders>
            <w:shd w:val="clear" w:color="auto" w:fill="auto"/>
            <w:noWrap/>
            <w:hideMark/>
          </w:tcPr>
          <w:p w14:paraId="6B37BD4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000000"/>
              <w:right w:val="single" w:sz="4" w:space="0" w:color="000000"/>
            </w:tcBorders>
            <w:shd w:val="clear" w:color="auto" w:fill="auto"/>
            <w:hideMark/>
          </w:tcPr>
          <w:p w14:paraId="54658D2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000000"/>
              <w:right w:val="single" w:sz="4" w:space="0" w:color="000000"/>
            </w:tcBorders>
            <w:shd w:val="clear" w:color="auto" w:fill="auto"/>
            <w:hideMark/>
          </w:tcPr>
          <w:p w14:paraId="56E435A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7,14%</w:t>
            </w:r>
          </w:p>
        </w:tc>
        <w:tc>
          <w:tcPr>
            <w:tcW w:w="430" w:type="pct"/>
            <w:tcBorders>
              <w:top w:val="nil"/>
              <w:left w:val="nil"/>
              <w:bottom w:val="single" w:sz="4" w:space="0" w:color="000000"/>
              <w:right w:val="single" w:sz="4" w:space="0" w:color="000000"/>
            </w:tcBorders>
            <w:shd w:val="clear" w:color="auto" w:fill="auto"/>
            <w:hideMark/>
          </w:tcPr>
          <w:p w14:paraId="0BEC365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32%</w:t>
            </w:r>
          </w:p>
        </w:tc>
        <w:tc>
          <w:tcPr>
            <w:tcW w:w="430" w:type="pct"/>
            <w:tcBorders>
              <w:top w:val="nil"/>
              <w:left w:val="nil"/>
              <w:bottom w:val="single" w:sz="4" w:space="0" w:color="000000"/>
              <w:right w:val="single" w:sz="4" w:space="0" w:color="000000"/>
            </w:tcBorders>
            <w:shd w:val="clear" w:color="auto" w:fill="auto"/>
            <w:hideMark/>
          </w:tcPr>
          <w:p w14:paraId="7FEE8C0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24,39%</w:t>
            </w:r>
          </w:p>
        </w:tc>
      </w:tr>
      <w:tr w:rsidR="000A3D7E" w:rsidRPr="009E54F6" w14:paraId="79CB74B2" w14:textId="77777777" w:rsidTr="009A2A76">
        <w:trPr>
          <w:trHeight w:val="300"/>
        </w:trPr>
        <w:tc>
          <w:tcPr>
            <w:tcW w:w="28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492105D"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ISGC-P07-02: Grado de satisfacción global del alumnado con el título</w:t>
            </w:r>
          </w:p>
        </w:tc>
        <w:tc>
          <w:tcPr>
            <w:tcW w:w="430" w:type="pct"/>
            <w:tcBorders>
              <w:top w:val="nil"/>
              <w:left w:val="single" w:sz="4" w:space="0" w:color="auto"/>
              <w:bottom w:val="single" w:sz="4" w:space="0" w:color="auto"/>
              <w:right w:val="single" w:sz="4" w:space="0" w:color="auto"/>
            </w:tcBorders>
            <w:shd w:val="clear" w:color="auto" w:fill="auto"/>
            <w:noWrap/>
            <w:hideMark/>
          </w:tcPr>
          <w:p w14:paraId="428A845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3,33</w:t>
            </w:r>
          </w:p>
        </w:tc>
        <w:tc>
          <w:tcPr>
            <w:tcW w:w="430" w:type="pct"/>
            <w:tcBorders>
              <w:top w:val="nil"/>
              <w:left w:val="nil"/>
              <w:bottom w:val="single" w:sz="4" w:space="0" w:color="auto"/>
              <w:right w:val="single" w:sz="4" w:space="0" w:color="auto"/>
            </w:tcBorders>
            <w:shd w:val="clear" w:color="auto" w:fill="auto"/>
            <w:noWrap/>
            <w:hideMark/>
          </w:tcPr>
          <w:p w14:paraId="5704058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3,58</w:t>
            </w:r>
          </w:p>
        </w:tc>
        <w:tc>
          <w:tcPr>
            <w:tcW w:w="430" w:type="pct"/>
            <w:tcBorders>
              <w:top w:val="nil"/>
              <w:left w:val="nil"/>
              <w:bottom w:val="single" w:sz="4" w:space="0" w:color="auto"/>
              <w:right w:val="single" w:sz="4" w:space="0" w:color="auto"/>
            </w:tcBorders>
            <w:shd w:val="clear" w:color="auto" w:fill="auto"/>
            <w:noWrap/>
            <w:hideMark/>
          </w:tcPr>
          <w:p w14:paraId="5054D28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2,36</w:t>
            </w:r>
          </w:p>
        </w:tc>
        <w:tc>
          <w:tcPr>
            <w:tcW w:w="430" w:type="pct"/>
            <w:tcBorders>
              <w:top w:val="nil"/>
              <w:left w:val="nil"/>
              <w:bottom w:val="single" w:sz="4" w:space="0" w:color="auto"/>
              <w:right w:val="single" w:sz="4" w:space="0" w:color="auto"/>
            </w:tcBorders>
            <w:shd w:val="clear" w:color="000000" w:fill="FFFFFF"/>
            <w:noWrap/>
            <w:hideMark/>
          </w:tcPr>
          <w:p w14:paraId="611E422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3,25</w:t>
            </w:r>
          </w:p>
        </w:tc>
        <w:tc>
          <w:tcPr>
            <w:tcW w:w="430" w:type="pct"/>
            <w:tcBorders>
              <w:top w:val="nil"/>
              <w:left w:val="nil"/>
              <w:bottom w:val="single" w:sz="4" w:space="0" w:color="auto"/>
              <w:right w:val="single" w:sz="4" w:space="0" w:color="auto"/>
            </w:tcBorders>
            <w:shd w:val="clear" w:color="000000" w:fill="FFFFFF"/>
            <w:noWrap/>
            <w:hideMark/>
          </w:tcPr>
          <w:p w14:paraId="60DC2D8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3,5</w:t>
            </w:r>
          </w:p>
        </w:tc>
      </w:tr>
      <w:tr w:rsidR="000A3D7E" w:rsidRPr="009E54F6" w14:paraId="26C813BF" w14:textId="77777777" w:rsidTr="009A2A76">
        <w:trPr>
          <w:trHeight w:val="300"/>
        </w:trPr>
        <w:tc>
          <w:tcPr>
            <w:tcW w:w="28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D48DD0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ISGC-P07-03: Grado de satisfacción global del PDI con el título</w:t>
            </w:r>
          </w:p>
        </w:tc>
        <w:tc>
          <w:tcPr>
            <w:tcW w:w="430" w:type="pct"/>
            <w:tcBorders>
              <w:top w:val="nil"/>
              <w:left w:val="single" w:sz="4" w:space="0" w:color="auto"/>
              <w:bottom w:val="single" w:sz="4" w:space="0" w:color="auto"/>
              <w:right w:val="single" w:sz="4" w:space="0" w:color="auto"/>
            </w:tcBorders>
            <w:shd w:val="clear" w:color="auto" w:fill="auto"/>
            <w:noWrap/>
            <w:hideMark/>
          </w:tcPr>
          <w:p w14:paraId="3F53517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7A68535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3,93</w:t>
            </w:r>
          </w:p>
        </w:tc>
        <w:tc>
          <w:tcPr>
            <w:tcW w:w="430" w:type="pct"/>
            <w:tcBorders>
              <w:top w:val="nil"/>
              <w:left w:val="nil"/>
              <w:bottom w:val="single" w:sz="4" w:space="0" w:color="auto"/>
              <w:right w:val="single" w:sz="4" w:space="0" w:color="auto"/>
            </w:tcBorders>
            <w:shd w:val="clear" w:color="auto" w:fill="auto"/>
            <w:noWrap/>
            <w:hideMark/>
          </w:tcPr>
          <w:p w14:paraId="0F51EAA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4,18</w:t>
            </w:r>
          </w:p>
        </w:tc>
        <w:tc>
          <w:tcPr>
            <w:tcW w:w="430" w:type="pct"/>
            <w:tcBorders>
              <w:top w:val="nil"/>
              <w:left w:val="nil"/>
              <w:bottom w:val="single" w:sz="4" w:space="0" w:color="auto"/>
              <w:right w:val="single" w:sz="4" w:space="0" w:color="auto"/>
            </w:tcBorders>
            <w:shd w:val="clear" w:color="000000" w:fill="FFFFFF"/>
            <w:noWrap/>
            <w:hideMark/>
          </w:tcPr>
          <w:p w14:paraId="54A4BFF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4,45</w:t>
            </w:r>
          </w:p>
        </w:tc>
        <w:tc>
          <w:tcPr>
            <w:tcW w:w="430" w:type="pct"/>
            <w:tcBorders>
              <w:top w:val="nil"/>
              <w:left w:val="nil"/>
              <w:bottom w:val="single" w:sz="4" w:space="0" w:color="auto"/>
              <w:right w:val="single" w:sz="4" w:space="0" w:color="auto"/>
            </w:tcBorders>
            <w:shd w:val="clear" w:color="000000" w:fill="FFFFFF"/>
            <w:noWrap/>
            <w:hideMark/>
          </w:tcPr>
          <w:p w14:paraId="4F66689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4,45</w:t>
            </w:r>
          </w:p>
        </w:tc>
      </w:tr>
      <w:tr w:rsidR="000A3D7E" w:rsidRPr="009E54F6" w14:paraId="744CCBDE"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A4F84"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ISGC-P07-04: Grado de satisfacción global del PAS con el Centro</w:t>
            </w:r>
          </w:p>
        </w:tc>
        <w:tc>
          <w:tcPr>
            <w:tcW w:w="430" w:type="pct"/>
            <w:tcBorders>
              <w:top w:val="nil"/>
              <w:left w:val="nil"/>
              <w:bottom w:val="single" w:sz="4" w:space="0" w:color="auto"/>
              <w:right w:val="single" w:sz="4" w:space="0" w:color="auto"/>
            </w:tcBorders>
            <w:shd w:val="clear" w:color="auto" w:fill="auto"/>
            <w:noWrap/>
            <w:hideMark/>
          </w:tcPr>
          <w:p w14:paraId="74B95F94"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3,61</w:t>
            </w:r>
          </w:p>
        </w:tc>
        <w:tc>
          <w:tcPr>
            <w:tcW w:w="430" w:type="pct"/>
            <w:tcBorders>
              <w:top w:val="nil"/>
              <w:left w:val="nil"/>
              <w:bottom w:val="single" w:sz="4" w:space="0" w:color="auto"/>
              <w:right w:val="single" w:sz="4" w:space="0" w:color="auto"/>
            </w:tcBorders>
            <w:shd w:val="clear" w:color="auto" w:fill="auto"/>
            <w:noWrap/>
            <w:hideMark/>
          </w:tcPr>
          <w:p w14:paraId="0694AEC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3,67</w:t>
            </w:r>
          </w:p>
        </w:tc>
        <w:tc>
          <w:tcPr>
            <w:tcW w:w="430" w:type="pct"/>
            <w:tcBorders>
              <w:top w:val="nil"/>
              <w:left w:val="nil"/>
              <w:bottom w:val="single" w:sz="4" w:space="0" w:color="auto"/>
              <w:right w:val="single" w:sz="4" w:space="0" w:color="auto"/>
            </w:tcBorders>
            <w:shd w:val="clear" w:color="auto" w:fill="auto"/>
            <w:noWrap/>
            <w:hideMark/>
          </w:tcPr>
          <w:p w14:paraId="11028FA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3,74</w:t>
            </w:r>
          </w:p>
        </w:tc>
        <w:tc>
          <w:tcPr>
            <w:tcW w:w="430" w:type="pct"/>
            <w:tcBorders>
              <w:top w:val="nil"/>
              <w:left w:val="nil"/>
              <w:bottom w:val="single" w:sz="4" w:space="0" w:color="auto"/>
              <w:right w:val="single" w:sz="4" w:space="0" w:color="auto"/>
            </w:tcBorders>
            <w:shd w:val="clear" w:color="000000" w:fill="FFFFFF"/>
            <w:noWrap/>
            <w:hideMark/>
          </w:tcPr>
          <w:p w14:paraId="2A4E588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4,1</w:t>
            </w:r>
          </w:p>
        </w:tc>
        <w:tc>
          <w:tcPr>
            <w:tcW w:w="430" w:type="pct"/>
            <w:tcBorders>
              <w:top w:val="nil"/>
              <w:left w:val="nil"/>
              <w:bottom w:val="single" w:sz="4" w:space="0" w:color="auto"/>
              <w:right w:val="single" w:sz="4" w:space="0" w:color="auto"/>
            </w:tcBorders>
            <w:shd w:val="clear" w:color="000000" w:fill="FFFFFF"/>
            <w:noWrap/>
            <w:hideMark/>
          </w:tcPr>
          <w:p w14:paraId="1AA62E5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3,86</w:t>
            </w:r>
          </w:p>
        </w:tc>
      </w:tr>
      <w:tr w:rsidR="000A3D7E" w:rsidRPr="009E54F6" w14:paraId="0D7537CE"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6050D"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430" w:type="pct"/>
            <w:tcBorders>
              <w:top w:val="nil"/>
              <w:left w:val="nil"/>
              <w:bottom w:val="single" w:sz="4" w:space="0" w:color="auto"/>
              <w:right w:val="single" w:sz="4" w:space="0" w:color="auto"/>
            </w:tcBorders>
            <w:shd w:val="clear" w:color="000000" w:fill="FFFFFF"/>
            <w:noWrap/>
            <w:hideMark/>
          </w:tcPr>
          <w:p w14:paraId="506C91D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000000"/>
              <w:right w:val="single" w:sz="4" w:space="0" w:color="000000"/>
            </w:tcBorders>
            <w:shd w:val="clear" w:color="auto" w:fill="auto"/>
            <w:hideMark/>
          </w:tcPr>
          <w:p w14:paraId="7025032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000000"/>
              <w:right w:val="single" w:sz="4" w:space="0" w:color="000000"/>
            </w:tcBorders>
            <w:shd w:val="clear" w:color="auto" w:fill="auto"/>
            <w:hideMark/>
          </w:tcPr>
          <w:p w14:paraId="56F70BF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100</w:t>
            </w:r>
          </w:p>
        </w:tc>
        <w:tc>
          <w:tcPr>
            <w:tcW w:w="430" w:type="pct"/>
            <w:tcBorders>
              <w:top w:val="nil"/>
              <w:left w:val="nil"/>
              <w:bottom w:val="single" w:sz="4" w:space="0" w:color="000000"/>
              <w:right w:val="single" w:sz="4" w:space="0" w:color="000000"/>
            </w:tcBorders>
            <w:shd w:val="clear" w:color="auto" w:fill="auto"/>
            <w:hideMark/>
          </w:tcPr>
          <w:p w14:paraId="5E93EFD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75</w:t>
            </w:r>
          </w:p>
        </w:tc>
        <w:tc>
          <w:tcPr>
            <w:tcW w:w="430" w:type="pct"/>
            <w:tcBorders>
              <w:top w:val="nil"/>
              <w:left w:val="nil"/>
              <w:bottom w:val="single" w:sz="4" w:space="0" w:color="000000"/>
              <w:right w:val="single" w:sz="4" w:space="0" w:color="000000"/>
            </w:tcBorders>
            <w:shd w:val="clear" w:color="auto" w:fill="auto"/>
            <w:hideMark/>
          </w:tcPr>
          <w:p w14:paraId="6C65839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50</w:t>
            </w:r>
          </w:p>
        </w:tc>
      </w:tr>
      <w:tr w:rsidR="000A3D7E" w:rsidRPr="009E54F6" w14:paraId="141A02C8" w14:textId="77777777" w:rsidTr="009A2A76">
        <w:trPr>
          <w:trHeight w:val="576"/>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AA37D"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430" w:type="pct"/>
            <w:tcBorders>
              <w:top w:val="nil"/>
              <w:left w:val="nil"/>
              <w:bottom w:val="single" w:sz="4" w:space="0" w:color="auto"/>
              <w:right w:val="single" w:sz="4" w:space="0" w:color="auto"/>
            </w:tcBorders>
            <w:shd w:val="clear" w:color="000000" w:fill="FFFFFF"/>
            <w:noWrap/>
            <w:hideMark/>
          </w:tcPr>
          <w:p w14:paraId="188EE17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3C6C005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16553A2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430" w:type="pct"/>
            <w:tcBorders>
              <w:top w:val="nil"/>
              <w:left w:val="nil"/>
              <w:bottom w:val="single" w:sz="4" w:space="0" w:color="auto"/>
              <w:right w:val="single" w:sz="4" w:space="0" w:color="auto"/>
            </w:tcBorders>
            <w:shd w:val="clear" w:color="auto" w:fill="auto"/>
            <w:noWrap/>
            <w:hideMark/>
          </w:tcPr>
          <w:p w14:paraId="5EA5E23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50</w:t>
            </w:r>
          </w:p>
        </w:tc>
        <w:tc>
          <w:tcPr>
            <w:tcW w:w="430" w:type="pct"/>
            <w:tcBorders>
              <w:top w:val="nil"/>
              <w:left w:val="nil"/>
              <w:bottom w:val="single" w:sz="4" w:space="0" w:color="auto"/>
              <w:right w:val="single" w:sz="4" w:space="0" w:color="auto"/>
            </w:tcBorders>
            <w:shd w:val="clear" w:color="auto" w:fill="auto"/>
            <w:noWrap/>
            <w:hideMark/>
          </w:tcPr>
          <w:p w14:paraId="1CE4E46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100</w:t>
            </w:r>
          </w:p>
        </w:tc>
      </w:tr>
      <w:tr w:rsidR="000A3D7E" w:rsidRPr="009E54F6" w14:paraId="2C5861B9"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96635"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ISGC-P07-07: Tasa de autoempleo (año realización encuesta)</w:t>
            </w:r>
          </w:p>
        </w:tc>
        <w:tc>
          <w:tcPr>
            <w:tcW w:w="430" w:type="pct"/>
            <w:tcBorders>
              <w:top w:val="nil"/>
              <w:left w:val="nil"/>
              <w:bottom w:val="single" w:sz="4" w:space="0" w:color="auto"/>
              <w:right w:val="single" w:sz="4" w:space="0" w:color="auto"/>
            </w:tcBorders>
            <w:shd w:val="clear" w:color="000000" w:fill="FFFFFF"/>
            <w:noWrap/>
            <w:hideMark/>
          </w:tcPr>
          <w:p w14:paraId="4902D7E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0D21417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4FD91A7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430" w:type="pct"/>
            <w:tcBorders>
              <w:top w:val="nil"/>
              <w:left w:val="nil"/>
              <w:bottom w:val="single" w:sz="4" w:space="0" w:color="auto"/>
              <w:right w:val="single" w:sz="4" w:space="0" w:color="auto"/>
            </w:tcBorders>
            <w:shd w:val="clear" w:color="auto" w:fill="auto"/>
            <w:noWrap/>
            <w:hideMark/>
          </w:tcPr>
          <w:p w14:paraId="56D935D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430" w:type="pct"/>
            <w:tcBorders>
              <w:top w:val="nil"/>
              <w:left w:val="nil"/>
              <w:bottom w:val="single" w:sz="4" w:space="0" w:color="auto"/>
              <w:right w:val="single" w:sz="4" w:space="0" w:color="auto"/>
            </w:tcBorders>
            <w:shd w:val="clear" w:color="auto" w:fill="auto"/>
            <w:noWrap/>
            <w:hideMark/>
          </w:tcPr>
          <w:p w14:paraId="65F2BD6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r>
      <w:tr w:rsidR="000A3D7E" w:rsidRPr="009E54F6" w14:paraId="0D2CBA5C"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9B91E"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ISGC-P07-08: Tasa de inserción con movilidad geográfica (año realización encuesta)</w:t>
            </w:r>
          </w:p>
        </w:tc>
        <w:tc>
          <w:tcPr>
            <w:tcW w:w="430" w:type="pct"/>
            <w:tcBorders>
              <w:top w:val="nil"/>
              <w:left w:val="nil"/>
              <w:bottom w:val="single" w:sz="4" w:space="0" w:color="auto"/>
              <w:right w:val="single" w:sz="4" w:space="0" w:color="auto"/>
            </w:tcBorders>
            <w:shd w:val="clear" w:color="000000" w:fill="FFFFFF"/>
            <w:noWrap/>
            <w:hideMark/>
          </w:tcPr>
          <w:p w14:paraId="6B2F959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1B8B2FC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45B3CDD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430" w:type="pct"/>
            <w:tcBorders>
              <w:top w:val="nil"/>
              <w:left w:val="nil"/>
              <w:bottom w:val="single" w:sz="4" w:space="0" w:color="auto"/>
              <w:right w:val="single" w:sz="4" w:space="0" w:color="auto"/>
            </w:tcBorders>
            <w:shd w:val="clear" w:color="auto" w:fill="auto"/>
            <w:noWrap/>
            <w:hideMark/>
          </w:tcPr>
          <w:p w14:paraId="1DED6D7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33,33</w:t>
            </w:r>
          </w:p>
        </w:tc>
        <w:tc>
          <w:tcPr>
            <w:tcW w:w="430" w:type="pct"/>
            <w:tcBorders>
              <w:top w:val="nil"/>
              <w:left w:val="nil"/>
              <w:bottom w:val="single" w:sz="4" w:space="0" w:color="auto"/>
              <w:right w:val="single" w:sz="4" w:space="0" w:color="auto"/>
            </w:tcBorders>
            <w:shd w:val="clear" w:color="auto" w:fill="auto"/>
            <w:noWrap/>
            <w:hideMark/>
          </w:tcPr>
          <w:p w14:paraId="388CD0A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20</w:t>
            </w:r>
          </w:p>
        </w:tc>
      </w:tr>
      <w:tr w:rsidR="000A3D7E" w:rsidRPr="009E54F6" w14:paraId="3D876E02"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6174B"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430" w:type="pct"/>
            <w:tcBorders>
              <w:top w:val="nil"/>
              <w:left w:val="nil"/>
              <w:bottom w:val="single" w:sz="4" w:space="0" w:color="auto"/>
              <w:right w:val="single" w:sz="4" w:space="0" w:color="auto"/>
            </w:tcBorders>
            <w:shd w:val="clear" w:color="000000" w:fill="FFFFFF"/>
            <w:noWrap/>
            <w:hideMark/>
          </w:tcPr>
          <w:p w14:paraId="06E850B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196E613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3A944CC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2,5</w:t>
            </w:r>
          </w:p>
        </w:tc>
        <w:tc>
          <w:tcPr>
            <w:tcW w:w="430" w:type="pct"/>
            <w:tcBorders>
              <w:top w:val="nil"/>
              <w:left w:val="nil"/>
              <w:bottom w:val="single" w:sz="4" w:space="0" w:color="auto"/>
              <w:right w:val="single" w:sz="4" w:space="0" w:color="auto"/>
            </w:tcBorders>
            <w:shd w:val="clear" w:color="auto" w:fill="auto"/>
            <w:noWrap/>
            <w:hideMark/>
          </w:tcPr>
          <w:p w14:paraId="66533BC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2,88</w:t>
            </w:r>
          </w:p>
        </w:tc>
        <w:tc>
          <w:tcPr>
            <w:tcW w:w="430" w:type="pct"/>
            <w:tcBorders>
              <w:top w:val="nil"/>
              <w:left w:val="nil"/>
              <w:bottom w:val="single" w:sz="4" w:space="0" w:color="auto"/>
              <w:right w:val="single" w:sz="4" w:space="0" w:color="auto"/>
            </w:tcBorders>
            <w:shd w:val="clear" w:color="auto" w:fill="auto"/>
            <w:noWrap/>
            <w:hideMark/>
          </w:tcPr>
          <w:p w14:paraId="2229ED7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3,2</w:t>
            </w:r>
          </w:p>
        </w:tc>
      </w:tr>
      <w:tr w:rsidR="000A3D7E" w:rsidRPr="009E54F6" w14:paraId="48373750" w14:textId="77777777" w:rsidTr="009A2A76">
        <w:trPr>
          <w:trHeight w:val="576"/>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407AA"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430" w:type="pct"/>
            <w:tcBorders>
              <w:top w:val="nil"/>
              <w:left w:val="nil"/>
              <w:bottom w:val="single" w:sz="4" w:space="0" w:color="auto"/>
              <w:right w:val="single" w:sz="4" w:space="0" w:color="auto"/>
            </w:tcBorders>
            <w:shd w:val="clear" w:color="auto" w:fill="auto"/>
            <w:noWrap/>
            <w:hideMark/>
          </w:tcPr>
          <w:p w14:paraId="3CF6BC6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60A7A03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19BAA9D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2913402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628FF85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w:t>
            </w:r>
          </w:p>
        </w:tc>
      </w:tr>
      <w:tr w:rsidR="000A3D7E" w:rsidRPr="009E54F6" w14:paraId="7EF7B150"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1CEC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430" w:type="pct"/>
            <w:tcBorders>
              <w:top w:val="nil"/>
              <w:left w:val="nil"/>
              <w:bottom w:val="single" w:sz="4" w:space="0" w:color="auto"/>
              <w:right w:val="single" w:sz="4" w:space="0" w:color="auto"/>
            </w:tcBorders>
            <w:shd w:val="clear" w:color="auto" w:fill="auto"/>
            <w:noWrap/>
            <w:hideMark/>
          </w:tcPr>
          <w:p w14:paraId="2275A20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5,48%</w:t>
            </w:r>
          </w:p>
        </w:tc>
        <w:tc>
          <w:tcPr>
            <w:tcW w:w="430" w:type="pct"/>
            <w:tcBorders>
              <w:top w:val="nil"/>
              <w:left w:val="nil"/>
              <w:bottom w:val="single" w:sz="4" w:space="0" w:color="auto"/>
              <w:right w:val="single" w:sz="4" w:space="0" w:color="auto"/>
            </w:tcBorders>
            <w:shd w:val="clear" w:color="auto" w:fill="auto"/>
            <w:noWrap/>
            <w:hideMark/>
          </w:tcPr>
          <w:p w14:paraId="15D586D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3BA2A49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699147C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000000" w:fill="FFFFFF"/>
            <w:noWrap/>
            <w:hideMark/>
          </w:tcPr>
          <w:p w14:paraId="057BF1C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r w:rsidR="000A3D7E" w:rsidRPr="009E54F6" w14:paraId="777E3109"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A4F95"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ISGC-P07-12: Número de incidencias docentes recibidas respecto al número de usuarios</w:t>
            </w:r>
          </w:p>
        </w:tc>
        <w:tc>
          <w:tcPr>
            <w:tcW w:w="430" w:type="pct"/>
            <w:tcBorders>
              <w:top w:val="nil"/>
              <w:left w:val="nil"/>
              <w:bottom w:val="single" w:sz="4" w:space="0" w:color="auto"/>
              <w:right w:val="single" w:sz="4" w:space="0" w:color="auto"/>
            </w:tcBorders>
            <w:shd w:val="clear" w:color="auto" w:fill="auto"/>
            <w:noWrap/>
            <w:hideMark/>
          </w:tcPr>
          <w:p w14:paraId="46ABFB5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4ED62E5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09BBC0F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02E711B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000000" w:fill="FFFFFF"/>
            <w:noWrap/>
            <w:hideMark/>
          </w:tcPr>
          <w:p w14:paraId="759F334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r w:rsidR="000A3D7E" w:rsidRPr="009E54F6" w14:paraId="7A26B02C"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C10BE"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ISGC-P07-13: Número de sugerencias recibidas respecto al número de usuarios </w:t>
            </w:r>
          </w:p>
        </w:tc>
        <w:tc>
          <w:tcPr>
            <w:tcW w:w="430" w:type="pct"/>
            <w:tcBorders>
              <w:top w:val="nil"/>
              <w:left w:val="nil"/>
              <w:bottom w:val="single" w:sz="4" w:space="0" w:color="auto"/>
              <w:right w:val="single" w:sz="4" w:space="0" w:color="auto"/>
            </w:tcBorders>
            <w:shd w:val="clear" w:color="auto" w:fill="auto"/>
            <w:noWrap/>
            <w:hideMark/>
          </w:tcPr>
          <w:p w14:paraId="188B273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2D6C027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23A7130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5B92BDA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000000" w:fill="FFFFFF"/>
            <w:noWrap/>
            <w:hideMark/>
          </w:tcPr>
          <w:p w14:paraId="27837B8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r w:rsidR="000A3D7E" w:rsidRPr="009E54F6" w14:paraId="23DC9914" w14:textId="77777777" w:rsidTr="009A2A76">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188C9"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ISGC-P07-14: Número de felicitaciones recibidas respecto al número de usuarios </w:t>
            </w:r>
          </w:p>
        </w:tc>
        <w:tc>
          <w:tcPr>
            <w:tcW w:w="430" w:type="pct"/>
            <w:tcBorders>
              <w:top w:val="nil"/>
              <w:left w:val="nil"/>
              <w:bottom w:val="single" w:sz="4" w:space="0" w:color="auto"/>
              <w:right w:val="single" w:sz="4" w:space="0" w:color="auto"/>
            </w:tcBorders>
            <w:shd w:val="clear" w:color="auto" w:fill="auto"/>
            <w:noWrap/>
            <w:hideMark/>
          </w:tcPr>
          <w:p w14:paraId="22296A2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29DA198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2F13500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auto" w:fill="auto"/>
            <w:noWrap/>
            <w:hideMark/>
          </w:tcPr>
          <w:p w14:paraId="12F2D90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430" w:type="pct"/>
            <w:tcBorders>
              <w:top w:val="nil"/>
              <w:left w:val="nil"/>
              <w:bottom w:val="single" w:sz="4" w:space="0" w:color="auto"/>
              <w:right w:val="single" w:sz="4" w:space="0" w:color="auto"/>
            </w:tcBorders>
            <w:shd w:val="clear" w:color="000000" w:fill="FFFFFF"/>
            <w:noWrap/>
            <w:hideMark/>
          </w:tcPr>
          <w:p w14:paraId="097D381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bl>
    <w:p w14:paraId="16C04B20" w14:textId="77777777" w:rsidR="001D093C" w:rsidRDefault="001D093C" w:rsidP="00BB1529">
      <w:pPr>
        <w:spacing w:after="0"/>
        <w:rPr>
          <w:sz w:val="18"/>
        </w:rPr>
      </w:pPr>
    </w:p>
    <w:p w14:paraId="6A0ED5C7" w14:textId="77777777" w:rsidR="001D093C" w:rsidRDefault="001D093C" w:rsidP="00BB1529">
      <w:pPr>
        <w:spacing w:after="0"/>
        <w:rPr>
          <w:sz w:val="18"/>
        </w:rPr>
      </w:pPr>
    </w:p>
    <w:tbl>
      <w:tblPr>
        <w:tblW w:w="5000" w:type="pct"/>
        <w:tblCellMar>
          <w:left w:w="70" w:type="dxa"/>
          <w:right w:w="70" w:type="dxa"/>
        </w:tblCellMar>
        <w:tblLook w:val="04A0" w:firstRow="1" w:lastRow="0" w:firstColumn="1" w:lastColumn="0" w:noHBand="0" w:noVBand="1"/>
      </w:tblPr>
      <w:tblGrid>
        <w:gridCol w:w="5581"/>
        <w:gridCol w:w="714"/>
        <w:gridCol w:w="713"/>
        <w:gridCol w:w="713"/>
        <w:gridCol w:w="713"/>
        <w:gridCol w:w="711"/>
      </w:tblGrid>
      <w:tr w:rsidR="001D093C" w:rsidRPr="009E54F6" w14:paraId="78293F3C" w14:textId="77777777" w:rsidTr="000A3D7E">
        <w:trPr>
          <w:trHeight w:val="600"/>
        </w:trPr>
        <w:tc>
          <w:tcPr>
            <w:tcW w:w="305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562C1440"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INDICADOR (CENTRO)</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7411B6BC"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2016-2017</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669C422E"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2017-2018</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13A3D088"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2018-2019</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0E83A183"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2019-2020</w:t>
            </w:r>
          </w:p>
        </w:tc>
        <w:tc>
          <w:tcPr>
            <w:tcW w:w="389" w:type="pct"/>
            <w:tcBorders>
              <w:top w:val="single" w:sz="4" w:space="0" w:color="auto"/>
              <w:left w:val="nil"/>
              <w:bottom w:val="nil"/>
              <w:right w:val="single" w:sz="4" w:space="0" w:color="auto"/>
            </w:tcBorders>
            <w:shd w:val="clear" w:color="000000" w:fill="1F497D"/>
            <w:vAlign w:val="center"/>
            <w:hideMark/>
          </w:tcPr>
          <w:p w14:paraId="6AD7E997" w14:textId="77777777" w:rsidR="001D093C" w:rsidRPr="009E54F6" w:rsidRDefault="001D093C" w:rsidP="001D093C">
            <w:pPr>
              <w:spacing w:after="0" w:line="240" w:lineRule="auto"/>
              <w:jc w:val="center"/>
              <w:rPr>
                <w:rFonts w:asciiTheme="minorHAnsi" w:eastAsia="Times New Roman" w:hAnsiTheme="minorHAnsi"/>
                <w:b/>
                <w:bCs/>
                <w:color w:val="FFFFFF"/>
                <w:sz w:val="16"/>
                <w:szCs w:val="16"/>
                <w:lang w:eastAsia="es-ES"/>
              </w:rPr>
            </w:pPr>
            <w:r w:rsidRPr="009E54F6">
              <w:rPr>
                <w:rFonts w:asciiTheme="minorHAnsi" w:eastAsia="Times New Roman" w:hAnsiTheme="minorHAnsi"/>
                <w:b/>
                <w:bCs/>
                <w:color w:val="FFFFFF"/>
                <w:sz w:val="16"/>
                <w:szCs w:val="16"/>
                <w:lang w:eastAsia="es-ES"/>
              </w:rPr>
              <w:t>2020-2021</w:t>
            </w:r>
          </w:p>
        </w:tc>
      </w:tr>
      <w:tr w:rsidR="000A3D7E" w:rsidRPr="009E54F6" w14:paraId="7A455889"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BEAE3"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ISGC-P07-01_01: Tasa de respuesta de la encuesta para el análisis de la satisfacción. Alumnado</w:t>
            </w:r>
          </w:p>
        </w:tc>
        <w:tc>
          <w:tcPr>
            <w:tcW w:w="390" w:type="pct"/>
            <w:tcBorders>
              <w:top w:val="nil"/>
              <w:left w:val="nil"/>
              <w:bottom w:val="single" w:sz="4" w:space="0" w:color="auto"/>
              <w:right w:val="single" w:sz="4" w:space="0" w:color="auto"/>
            </w:tcBorders>
            <w:shd w:val="clear" w:color="auto" w:fill="auto"/>
            <w:noWrap/>
            <w:hideMark/>
          </w:tcPr>
          <w:p w14:paraId="041EFDA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24,39%</w:t>
            </w:r>
          </w:p>
        </w:tc>
        <w:tc>
          <w:tcPr>
            <w:tcW w:w="390" w:type="pct"/>
            <w:tcBorders>
              <w:top w:val="nil"/>
              <w:left w:val="nil"/>
              <w:bottom w:val="single" w:sz="4" w:space="0" w:color="auto"/>
              <w:right w:val="single" w:sz="4" w:space="0" w:color="auto"/>
            </w:tcBorders>
            <w:shd w:val="clear" w:color="auto" w:fill="auto"/>
            <w:noWrap/>
            <w:hideMark/>
          </w:tcPr>
          <w:p w14:paraId="33F6AF5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12,39%</w:t>
            </w:r>
          </w:p>
        </w:tc>
        <w:tc>
          <w:tcPr>
            <w:tcW w:w="390" w:type="pct"/>
            <w:tcBorders>
              <w:top w:val="nil"/>
              <w:left w:val="nil"/>
              <w:bottom w:val="single" w:sz="4" w:space="0" w:color="auto"/>
              <w:right w:val="single" w:sz="4" w:space="0" w:color="auto"/>
            </w:tcBorders>
            <w:shd w:val="clear" w:color="auto" w:fill="auto"/>
            <w:noWrap/>
            <w:hideMark/>
          </w:tcPr>
          <w:p w14:paraId="19B0654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10,89%</w:t>
            </w:r>
          </w:p>
        </w:tc>
        <w:tc>
          <w:tcPr>
            <w:tcW w:w="390" w:type="pct"/>
            <w:tcBorders>
              <w:top w:val="nil"/>
              <w:left w:val="nil"/>
              <w:bottom w:val="single" w:sz="4" w:space="0" w:color="auto"/>
              <w:right w:val="single" w:sz="4" w:space="0" w:color="auto"/>
            </w:tcBorders>
            <w:shd w:val="clear" w:color="000000" w:fill="FFFFFF"/>
            <w:noWrap/>
            <w:hideMark/>
          </w:tcPr>
          <w:p w14:paraId="1F295C9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23,02%</w:t>
            </w:r>
          </w:p>
        </w:tc>
        <w:tc>
          <w:tcPr>
            <w:tcW w:w="389" w:type="pct"/>
            <w:tcBorders>
              <w:top w:val="nil"/>
              <w:left w:val="nil"/>
              <w:bottom w:val="single" w:sz="4" w:space="0" w:color="auto"/>
              <w:right w:val="single" w:sz="4" w:space="0" w:color="auto"/>
            </w:tcBorders>
            <w:shd w:val="clear" w:color="000000" w:fill="FFFFFF"/>
            <w:noWrap/>
            <w:hideMark/>
          </w:tcPr>
          <w:p w14:paraId="10D2990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48,78%</w:t>
            </w:r>
          </w:p>
        </w:tc>
      </w:tr>
      <w:tr w:rsidR="000A3D7E" w:rsidRPr="009E54F6" w14:paraId="26A3B41C"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28C69"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ISGC-P07-01_02: Tasa de respuesta de la encuesta para el análisis de la satisfacción. PDI</w:t>
            </w:r>
          </w:p>
        </w:tc>
        <w:tc>
          <w:tcPr>
            <w:tcW w:w="390" w:type="pct"/>
            <w:tcBorders>
              <w:top w:val="nil"/>
              <w:left w:val="nil"/>
              <w:bottom w:val="single" w:sz="4" w:space="0" w:color="auto"/>
              <w:right w:val="single" w:sz="4" w:space="0" w:color="auto"/>
            </w:tcBorders>
            <w:shd w:val="clear" w:color="auto" w:fill="auto"/>
            <w:noWrap/>
            <w:hideMark/>
          </w:tcPr>
          <w:p w14:paraId="4CB16FB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79,78%</w:t>
            </w:r>
          </w:p>
        </w:tc>
        <w:tc>
          <w:tcPr>
            <w:tcW w:w="390" w:type="pct"/>
            <w:tcBorders>
              <w:top w:val="nil"/>
              <w:left w:val="nil"/>
              <w:bottom w:val="single" w:sz="4" w:space="0" w:color="auto"/>
              <w:right w:val="single" w:sz="4" w:space="0" w:color="auto"/>
            </w:tcBorders>
            <w:shd w:val="clear" w:color="auto" w:fill="auto"/>
            <w:noWrap/>
            <w:hideMark/>
          </w:tcPr>
          <w:p w14:paraId="4E18661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58,99%</w:t>
            </w:r>
          </w:p>
        </w:tc>
        <w:tc>
          <w:tcPr>
            <w:tcW w:w="390" w:type="pct"/>
            <w:tcBorders>
              <w:top w:val="nil"/>
              <w:left w:val="nil"/>
              <w:bottom w:val="single" w:sz="4" w:space="0" w:color="auto"/>
              <w:right w:val="single" w:sz="4" w:space="0" w:color="auto"/>
            </w:tcBorders>
            <w:shd w:val="clear" w:color="auto" w:fill="auto"/>
            <w:noWrap/>
            <w:hideMark/>
          </w:tcPr>
          <w:p w14:paraId="1911AF04"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60,14%</w:t>
            </w:r>
          </w:p>
        </w:tc>
        <w:tc>
          <w:tcPr>
            <w:tcW w:w="390" w:type="pct"/>
            <w:tcBorders>
              <w:top w:val="nil"/>
              <w:left w:val="nil"/>
              <w:bottom w:val="single" w:sz="4" w:space="0" w:color="auto"/>
              <w:right w:val="single" w:sz="4" w:space="0" w:color="auto"/>
            </w:tcBorders>
            <w:shd w:val="clear" w:color="000000" w:fill="FFFFFF"/>
            <w:noWrap/>
            <w:hideMark/>
          </w:tcPr>
          <w:p w14:paraId="5673EF7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45,5%</w:t>
            </w:r>
          </w:p>
        </w:tc>
        <w:tc>
          <w:tcPr>
            <w:tcW w:w="389" w:type="pct"/>
            <w:tcBorders>
              <w:top w:val="nil"/>
              <w:left w:val="nil"/>
              <w:bottom w:val="single" w:sz="4" w:space="0" w:color="auto"/>
              <w:right w:val="single" w:sz="4" w:space="0" w:color="auto"/>
            </w:tcBorders>
            <w:shd w:val="clear" w:color="000000" w:fill="FFFFFF"/>
            <w:noWrap/>
            <w:hideMark/>
          </w:tcPr>
          <w:p w14:paraId="38B5845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64,62%</w:t>
            </w:r>
          </w:p>
        </w:tc>
      </w:tr>
      <w:tr w:rsidR="000A3D7E" w:rsidRPr="009E54F6" w14:paraId="50AA513D"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16538"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ISGC-P07-01_03: Tasa de respuesta de la encuesta para el análisis de la satisfacción. Egresados</w:t>
            </w:r>
          </w:p>
        </w:tc>
        <w:tc>
          <w:tcPr>
            <w:tcW w:w="390" w:type="pct"/>
            <w:tcBorders>
              <w:top w:val="nil"/>
              <w:left w:val="nil"/>
              <w:bottom w:val="single" w:sz="4" w:space="0" w:color="auto"/>
              <w:right w:val="single" w:sz="4" w:space="0" w:color="auto"/>
            </w:tcBorders>
            <w:shd w:val="clear" w:color="auto" w:fill="auto"/>
            <w:noWrap/>
            <w:hideMark/>
          </w:tcPr>
          <w:p w14:paraId="74D5076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000000"/>
              <w:right w:val="single" w:sz="4" w:space="0" w:color="000000"/>
            </w:tcBorders>
            <w:shd w:val="clear" w:color="auto" w:fill="auto"/>
            <w:hideMark/>
          </w:tcPr>
          <w:p w14:paraId="2B89262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29,41%</w:t>
            </w:r>
          </w:p>
        </w:tc>
        <w:tc>
          <w:tcPr>
            <w:tcW w:w="390" w:type="pct"/>
            <w:tcBorders>
              <w:top w:val="nil"/>
              <w:left w:val="nil"/>
              <w:bottom w:val="single" w:sz="4" w:space="0" w:color="000000"/>
              <w:right w:val="single" w:sz="4" w:space="0" w:color="000000"/>
            </w:tcBorders>
            <w:shd w:val="clear" w:color="auto" w:fill="auto"/>
            <w:hideMark/>
          </w:tcPr>
          <w:p w14:paraId="4788664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10%</w:t>
            </w:r>
          </w:p>
        </w:tc>
        <w:tc>
          <w:tcPr>
            <w:tcW w:w="390" w:type="pct"/>
            <w:tcBorders>
              <w:top w:val="nil"/>
              <w:left w:val="nil"/>
              <w:bottom w:val="single" w:sz="4" w:space="0" w:color="000000"/>
              <w:right w:val="single" w:sz="4" w:space="0" w:color="000000"/>
            </w:tcBorders>
            <w:shd w:val="clear" w:color="auto" w:fill="auto"/>
            <w:hideMark/>
          </w:tcPr>
          <w:p w14:paraId="56C884A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26,53%</w:t>
            </w:r>
          </w:p>
        </w:tc>
        <w:tc>
          <w:tcPr>
            <w:tcW w:w="389" w:type="pct"/>
            <w:tcBorders>
              <w:top w:val="nil"/>
              <w:left w:val="nil"/>
              <w:bottom w:val="single" w:sz="4" w:space="0" w:color="000000"/>
              <w:right w:val="single" w:sz="4" w:space="0" w:color="000000"/>
            </w:tcBorders>
            <w:shd w:val="clear" w:color="auto" w:fill="auto"/>
            <w:hideMark/>
          </w:tcPr>
          <w:p w14:paraId="6596438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19,18%</w:t>
            </w:r>
          </w:p>
        </w:tc>
      </w:tr>
      <w:tr w:rsidR="000A3D7E" w:rsidRPr="009E54F6" w14:paraId="658F6A90" w14:textId="77777777" w:rsidTr="000A3D7E">
        <w:trPr>
          <w:trHeight w:val="300"/>
        </w:trPr>
        <w:tc>
          <w:tcPr>
            <w:tcW w:w="30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FB62E8"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ISGC-P07-02: Grado de satisfacción global del alumnado con el título</w:t>
            </w:r>
          </w:p>
        </w:tc>
        <w:tc>
          <w:tcPr>
            <w:tcW w:w="390" w:type="pct"/>
            <w:tcBorders>
              <w:top w:val="nil"/>
              <w:left w:val="single" w:sz="4" w:space="0" w:color="auto"/>
              <w:bottom w:val="single" w:sz="4" w:space="0" w:color="auto"/>
              <w:right w:val="single" w:sz="4" w:space="0" w:color="auto"/>
            </w:tcBorders>
            <w:shd w:val="clear" w:color="auto" w:fill="auto"/>
            <w:noWrap/>
            <w:hideMark/>
          </w:tcPr>
          <w:p w14:paraId="370E3EA4"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3,72</w:t>
            </w:r>
          </w:p>
        </w:tc>
        <w:tc>
          <w:tcPr>
            <w:tcW w:w="390" w:type="pct"/>
            <w:tcBorders>
              <w:top w:val="nil"/>
              <w:left w:val="nil"/>
              <w:bottom w:val="single" w:sz="4" w:space="0" w:color="auto"/>
              <w:right w:val="single" w:sz="4" w:space="0" w:color="auto"/>
            </w:tcBorders>
            <w:shd w:val="clear" w:color="auto" w:fill="auto"/>
            <w:noWrap/>
            <w:hideMark/>
          </w:tcPr>
          <w:p w14:paraId="3885E3A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3,93</w:t>
            </w:r>
          </w:p>
        </w:tc>
        <w:tc>
          <w:tcPr>
            <w:tcW w:w="390" w:type="pct"/>
            <w:tcBorders>
              <w:top w:val="nil"/>
              <w:left w:val="nil"/>
              <w:bottom w:val="single" w:sz="4" w:space="0" w:color="auto"/>
              <w:right w:val="single" w:sz="4" w:space="0" w:color="auto"/>
            </w:tcBorders>
            <w:shd w:val="clear" w:color="auto" w:fill="auto"/>
            <w:noWrap/>
            <w:hideMark/>
          </w:tcPr>
          <w:p w14:paraId="037C7CB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3,1</w:t>
            </w:r>
          </w:p>
        </w:tc>
        <w:tc>
          <w:tcPr>
            <w:tcW w:w="390" w:type="pct"/>
            <w:tcBorders>
              <w:top w:val="nil"/>
              <w:left w:val="nil"/>
              <w:bottom w:val="single" w:sz="4" w:space="0" w:color="auto"/>
              <w:right w:val="single" w:sz="4" w:space="0" w:color="auto"/>
            </w:tcBorders>
            <w:shd w:val="clear" w:color="000000" w:fill="FFFFFF"/>
            <w:noWrap/>
            <w:hideMark/>
          </w:tcPr>
          <w:p w14:paraId="59C8CDD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3,46</w:t>
            </w:r>
          </w:p>
        </w:tc>
        <w:tc>
          <w:tcPr>
            <w:tcW w:w="389" w:type="pct"/>
            <w:tcBorders>
              <w:top w:val="nil"/>
              <w:left w:val="nil"/>
              <w:bottom w:val="single" w:sz="4" w:space="0" w:color="auto"/>
              <w:right w:val="single" w:sz="4" w:space="0" w:color="auto"/>
            </w:tcBorders>
            <w:shd w:val="clear" w:color="000000" w:fill="FFFFFF"/>
            <w:noWrap/>
            <w:hideMark/>
          </w:tcPr>
          <w:p w14:paraId="078DCA1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3,56</w:t>
            </w:r>
          </w:p>
        </w:tc>
      </w:tr>
      <w:tr w:rsidR="000A3D7E" w:rsidRPr="009E54F6" w14:paraId="71560E30" w14:textId="77777777" w:rsidTr="000A3D7E">
        <w:trPr>
          <w:trHeight w:val="300"/>
        </w:trPr>
        <w:tc>
          <w:tcPr>
            <w:tcW w:w="30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F800B6"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ISGC-P07-03: Grado de satisfacción global del PDI con el título</w:t>
            </w:r>
          </w:p>
        </w:tc>
        <w:tc>
          <w:tcPr>
            <w:tcW w:w="390" w:type="pct"/>
            <w:tcBorders>
              <w:top w:val="nil"/>
              <w:left w:val="single" w:sz="4" w:space="0" w:color="auto"/>
              <w:bottom w:val="single" w:sz="4" w:space="0" w:color="auto"/>
              <w:right w:val="single" w:sz="4" w:space="0" w:color="auto"/>
            </w:tcBorders>
            <w:shd w:val="clear" w:color="auto" w:fill="auto"/>
            <w:noWrap/>
            <w:hideMark/>
          </w:tcPr>
          <w:p w14:paraId="4A401D4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3,96</w:t>
            </w:r>
          </w:p>
        </w:tc>
        <w:tc>
          <w:tcPr>
            <w:tcW w:w="390" w:type="pct"/>
            <w:tcBorders>
              <w:top w:val="nil"/>
              <w:left w:val="nil"/>
              <w:bottom w:val="single" w:sz="4" w:space="0" w:color="auto"/>
              <w:right w:val="single" w:sz="4" w:space="0" w:color="auto"/>
            </w:tcBorders>
            <w:shd w:val="clear" w:color="auto" w:fill="auto"/>
            <w:noWrap/>
            <w:hideMark/>
          </w:tcPr>
          <w:p w14:paraId="18AF505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3,87</w:t>
            </w:r>
          </w:p>
        </w:tc>
        <w:tc>
          <w:tcPr>
            <w:tcW w:w="390" w:type="pct"/>
            <w:tcBorders>
              <w:top w:val="nil"/>
              <w:left w:val="nil"/>
              <w:bottom w:val="single" w:sz="4" w:space="0" w:color="auto"/>
              <w:right w:val="single" w:sz="4" w:space="0" w:color="auto"/>
            </w:tcBorders>
            <w:shd w:val="clear" w:color="auto" w:fill="auto"/>
            <w:noWrap/>
            <w:hideMark/>
          </w:tcPr>
          <w:p w14:paraId="18A9A12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4,45</w:t>
            </w:r>
          </w:p>
        </w:tc>
        <w:tc>
          <w:tcPr>
            <w:tcW w:w="390" w:type="pct"/>
            <w:tcBorders>
              <w:top w:val="nil"/>
              <w:left w:val="nil"/>
              <w:bottom w:val="single" w:sz="4" w:space="0" w:color="auto"/>
              <w:right w:val="single" w:sz="4" w:space="0" w:color="auto"/>
            </w:tcBorders>
            <w:shd w:val="clear" w:color="000000" w:fill="FFFFFF"/>
            <w:noWrap/>
            <w:hideMark/>
          </w:tcPr>
          <w:p w14:paraId="3E98FC1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4,28</w:t>
            </w:r>
          </w:p>
        </w:tc>
        <w:tc>
          <w:tcPr>
            <w:tcW w:w="389" w:type="pct"/>
            <w:tcBorders>
              <w:top w:val="nil"/>
              <w:left w:val="nil"/>
              <w:bottom w:val="single" w:sz="4" w:space="0" w:color="auto"/>
              <w:right w:val="single" w:sz="4" w:space="0" w:color="auto"/>
            </w:tcBorders>
            <w:shd w:val="clear" w:color="000000" w:fill="FFFFFF"/>
            <w:noWrap/>
            <w:hideMark/>
          </w:tcPr>
          <w:p w14:paraId="0E0BAF7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4,35</w:t>
            </w:r>
          </w:p>
        </w:tc>
      </w:tr>
      <w:tr w:rsidR="000A3D7E" w:rsidRPr="009E54F6" w14:paraId="7C47DCC1"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B319D"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ISGC-P07-04: Grado de satisfacción global del PAS con el Centro</w:t>
            </w:r>
          </w:p>
        </w:tc>
        <w:tc>
          <w:tcPr>
            <w:tcW w:w="390" w:type="pct"/>
            <w:tcBorders>
              <w:top w:val="nil"/>
              <w:left w:val="nil"/>
              <w:bottom w:val="single" w:sz="4" w:space="0" w:color="auto"/>
              <w:right w:val="single" w:sz="4" w:space="0" w:color="auto"/>
            </w:tcBorders>
            <w:shd w:val="clear" w:color="auto" w:fill="auto"/>
            <w:noWrap/>
            <w:hideMark/>
          </w:tcPr>
          <w:p w14:paraId="645B165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3,61</w:t>
            </w:r>
          </w:p>
        </w:tc>
        <w:tc>
          <w:tcPr>
            <w:tcW w:w="390" w:type="pct"/>
            <w:tcBorders>
              <w:top w:val="nil"/>
              <w:left w:val="nil"/>
              <w:bottom w:val="single" w:sz="4" w:space="0" w:color="auto"/>
              <w:right w:val="single" w:sz="4" w:space="0" w:color="auto"/>
            </w:tcBorders>
            <w:shd w:val="clear" w:color="auto" w:fill="auto"/>
            <w:noWrap/>
            <w:hideMark/>
          </w:tcPr>
          <w:p w14:paraId="157524A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3,66</w:t>
            </w:r>
          </w:p>
        </w:tc>
        <w:tc>
          <w:tcPr>
            <w:tcW w:w="390" w:type="pct"/>
            <w:tcBorders>
              <w:top w:val="nil"/>
              <w:left w:val="nil"/>
              <w:bottom w:val="single" w:sz="4" w:space="0" w:color="auto"/>
              <w:right w:val="single" w:sz="4" w:space="0" w:color="auto"/>
            </w:tcBorders>
            <w:shd w:val="clear" w:color="auto" w:fill="auto"/>
            <w:noWrap/>
            <w:hideMark/>
          </w:tcPr>
          <w:p w14:paraId="4A0C101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3,74</w:t>
            </w:r>
          </w:p>
        </w:tc>
        <w:tc>
          <w:tcPr>
            <w:tcW w:w="390" w:type="pct"/>
            <w:tcBorders>
              <w:top w:val="nil"/>
              <w:left w:val="nil"/>
              <w:bottom w:val="single" w:sz="4" w:space="0" w:color="auto"/>
              <w:right w:val="single" w:sz="4" w:space="0" w:color="auto"/>
            </w:tcBorders>
            <w:shd w:val="clear" w:color="000000" w:fill="FFFFFF"/>
            <w:noWrap/>
            <w:hideMark/>
          </w:tcPr>
          <w:p w14:paraId="4BD1C14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4,1</w:t>
            </w:r>
          </w:p>
        </w:tc>
        <w:tc>
          <w:tcPr>
            <w:tcW w:w="389" w:type="pct"/>
            <w:tcBorders>
              <w:top w:val="nil"/>
              <w:left w:val="nil"/>
              <w:bottom w:val="single" w:sz="4" w:space="0" w:color="auto"/>
              <w:right w:val="single" w:sz="4" w:space="0" w:color="auto"/>
            </w:tcBorders>
            <w:shd w:val="clear" w:color="000000" w:fill="FFFFFF"/>
            <w:noWrap/>
            <w:hideMark/>
          </w:tcPr>
          <w:p w14:paraId="48F1B8B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3,86</w:t>
            </w:r>
          </w:p>
        </w:tc>
      </w:tr>
      <w:tr w:rsidR="000A3D7E" w:rsidRPr="009E54F6" w14:paraId="5BF556E5"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CD29E"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390" w:type="pct"/>
            <w:tcBorders>
              <w:top w:val="nil"/>
              <w:left w:val="nil"/>
              <w:bottom w:val="single" w:sz="4" w:space="0" w:color="auto"/>
              <w:right w:val="single" w:sz="4" w:space="0" w:color="auto"/>
            </w:tcBorders>
            <w:shd w:val="clear" w:color="000000" w:fill="FFFFFF"/>
            <w:noWrap/>
            <w:hideMark/>
          </w:tcPr>
          <w:p w14:paraId="7758F70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000000"/>
              <w:right w:val="single" w:sz="4" w:space="0" w:color="000000"/>
            </w:tcBorders>
            <w:shd w:val="clear" w:color="auto" w:fill="auto"/>
            <w:hideMark/>
          </w:tcPr>
          <w:p w14:paraId="2B08A1B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80</w:t>
            </w:r>
          </w:p>
        </w:tc>
        <w:tc>
          <w:tcPr>
            <w:tcW w:w="390" w:type="pct"/>
            <w:tcBorders>
              <w:top w:val="nil"/>
              <w:left w:val="nil"/>
              <w:bottom w:val="single" w:sz="4" w:space="0" w:color="000000"/>
              <w:right w:val="single" w:sz="4" w:space="0" w:color="000000"/>
            </w:tcBorders>
            <w:shd w:val="clear" w:color="auto" w:fill="auto"/>
            <w:hideMark/>
          </w:tcPr>
          <w:p w14:paraId="0531379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50</w:t>
            </w:r>
          </w:p>
        </w:tc>
        <w:tc>
          <w:tcPr>
            <w:tcW w:w="390" w:type="pct"/>
            <w:tcBorders>
              <w:top w:val="nil"/>
              <w:left w:val="nil"/>
              <w:bottom w:val="single" w:sz="4" w:space="0" w:color="000000"/>
              <w:right w:val="single" w:sz="4" w:space="0" w:color="000000"/>
            </w:tcBorders>
            <w:shd w:val="clear" w:color="auto" w:fill="auto"/>
            <w:hideMark/>
          </w:tcPr>
          <w:p w14:paraId="4C2F29B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84,62</w:t>
            </w:r>
          </w:p>
        </w:tc>
        <w:tc>
          <w:tcPr>
            <w:tcW w:w="389" w:type="pct"/>
            <w:tcBorders>
              <w:top w:val="nil"/>
              <w:left w:val="nil"/>
              <w:bottom w:val="single" w:sz="4" w:space="0" w:color="000000"/>
              <w:right w:val="single" w:sz="4" w:space="0" w:color="000000"/>
            </w:tcBorders>
            <w:shd w:val="clear" w:color="auto" w:fill="auto"/>
            <w:hideMark/>
          </w:tcPr>
          <w:p w14:paraId="4861689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35,71</w:t>
            </w:r>
          </w:p>
        </w:tc>
      </w:tr>
      <w:tr w:rsidR="000A3D7E" w:rsidRPr="009E54F6" w14:paraId="1593D5F2" w14:textId="77777777" w:rsidTr="000A3D7E">
        <w:trPr>
          <w:trHeight w:val="576"/>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36F5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390" w:type="pct"/>
            <w:tcBorders>
              <w:top w:val="nil"/>
              <w:left w:val="nil"/>
              <w:bottom w:val="single" w:sz="4" w:space="0" w:color="auto"/>
              <w:right w:val="single" w:sz="4" w:space="0" w:color="auto"/>
            </w:tcBorders>
            <w:shd w:val="clear" w:color="000000" w:fill="FFFFFF"/>
            <w:noWrap/>
            <w:hideMark/>
          </w:tcPr>
          <w:p w14:paraId="7AA29EB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4BAFAB1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75</w:t>
            </w:r>
          </w:p>
        </w:tc>
        <w:tc>
          <w:tcPr>
            <w:tcW w:w="390" w:type="pct"/>
            <w:tcBorders>
              <w:top w:val="nil"/>
              <w:left w:val="nil"/>
              <w:bottom w:val="single" w:sz="4" w:space="0" w:color="auto"/>
              <w:right w:val="single" w:sz="4" w:space="0" w:color="auto"/>
            </w:tcBorders>
            <w:shd w:val="clear" w:color="auto" w:fill="auto"/>
            <w:noWrap/>
            <w:hideMark/>
          </w:tcPr>
          <w:p w14:paraId="2D44999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390" w:type="pct"/>
            <w:tcBorders>
              <w:top w:val="nil"/>
              <w:left w:val="nil"/>
              <w:bottom w:val="single" w:sz="4" w:space="0" w:color="auto"/>
              <w:right w:val="single" w:sz="4" w:space="0" w:color="auto"/>
            </w:tcBorders>
            <w:shd w:val="clear" w:color="auto" w:fill="auto"/>
            <w:noWrap/>
            <w:hideMark/>
          </w:tcPr>
          <w:p w14:paraId="3BC5A4E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72,73</w:t>
            </w:r>
          </w:p>
        </w:tc>
        <w:tc>
          <w:tcPr>
            <w:tcW w:w="389" w:type="pct"/>
            <w:tcBorders>
              <w:top w:val="nil"/>
              <w:left w:val="nil"/>
              <w:bottom w:val="single" w:sz="4" w:space="0" w:color="auto"/>
              <w:right w:val="single" w:sz="4" w:space="0" w:color="auto"/>
            </w:tcBorders>
            <w:shd w:val="clear" w:color="auto" w:fill="auto"/>
            <w:noWrap/>
            <w:hideMark/>
          </w:tcPr>
          <w:p w14:paraId="28530FD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100</w:t>
            </w:r>
          </w:p>
        </w:tc>
      </w:tr>
      <w:tr w:rsidR="000A3D7E" w:rsidRPr="009E54F6" w14:paraId="5541F522"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35DC8"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ISGC-P07-07: Tasa de autoempleo (año realización encuesta)</w:t>
            </w:r>
          </w:p>
        </w:tc>
        <w:tc>
          <w:tcPr>
            <w:tcW w:w="390" w:type="pct"/>
            <w:tcBorders>
              <w:top w:val="nil"/>
              <w:left w:val="nil"/>
              <w:bottom w:val="single" w:sz="4" w:space="0" w:color="auto"/>
              <w:right w:val="single" w:sz="4" w:space="0" w:color="auto"/>
            </w:tcBorders>
            <w:shd w:val="clear" w:color="000000" w:fill="FFFFFF"/>
            <w:noWrap/>
            <w:hideMark/>
          </w:tcPr>
          <w:p w14:paraId="41B1BCB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5AA08F84"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390" w:type="pct"/>
            <w:tcBorders>
              <w:top w:val="nil"/>
              <w:left w:val="nil"/>
              <w:bottom w:val="single" w:sz="4" w:space="0" w:color="auto"/>
              <w:right w:val="single" w:sz="4" w:space="0" w:color="auto"/>
            </w:tcBorders>
            <w:shd w:val="clear" w:color="auto" w:fill="auto"/>
            <w:noWrap/>
            <w:hideMark/>
          </w:tcPr>
          <w:p w14:paraId="5CAEA42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390" w:type="pct"/>
            <w:tcBorders>
              <w:top w:val="nil"/>
              <w:left w:val="nil"/>
              <w:bottom w:val="single" w:sz="4" w:space="0" w:color="auto"/>
              <w:right w:val="single" w:sz="4" w:space="0" w:color="auto"/>
            </w:tcBorders>
            <w:shd w:val="clear" w:color="auto" w:fill="auto"/>
            <w:noWrap/>
            <w:hideMark/>
          </w:tcPr>
          <w:p w14:paraId="32DC46E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389" w:type="pct"/>
            <w:tcBorders>
              <w:top w:val="nil"/>
              <w:left w:val="nil"/>
              <w:bottom w:val="single" w:sz="4" w:space="0" w:color="auto"/>
              <w:right w:val="single" w:sz="4" w:space="0" w:color="auto"/>
            </w:tcBorders>
            <w:shd w:val="clear" w:color="auto" w:fill="auto"/>
            <w:noWrap/>
            <w:hideMark/>
          </w:tcPr>
          <w:p w14:paraId="47990AD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r>
      <w:tr w:rsidR="000A3D7E" w:rsidRPr="009E54F6" w14:paraId="7121495B"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5EC1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ISGC-P07-08: Tasa de inserción con movilidad geográfica (año realización encuesta)</w:t>
            </w:r>
          </w:p>
        </w:tc>
        <w:tc>
          <w:tcPr>
            <w:tcW w:w="390" w:type="pct"/>
            <w:tcBorders>
              <w:top w:val="nil"/>
              <w:left w:val="nil"/>
              <w:bottom w:val="single" w:sz="4" w:space="0" w:color="auto"/>
              <w:right w:val="single" w:sz="4" w:space="0" w:color="auto"/>
            </w:tcBorders>
            <w:shd w:val="clear" w:color="000000" w:fill="FFFFFF"/>
            <w:noWrap/>
            <w:hideMark/>
          </w:tcPr>
          <w:p w14:paraId="071E5CC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32D95FB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25</w:t>
            </w:r>
          </w:p>
        </w:tc>
        <w:tc>
          <w:tcPr>
            <w:tcW w:w="390" w:type="pct"/>
            <w:tcBorders>
              <w:top w:val="nil"/>
              <w:left w:val="nil"/>
              <w:bottom w:val="single" w:sz="4" w:space="0" w:color="auto"/>
              <w:right w:val="single" w:sz="4" w:space="0" w:color="auto"/>
            </w:tcBorders>
            <w:shd w:val="clear" w:color="auto" w:fill="auto"/>
            <w:noWrap/>
            <w:hideMark/>
          </w:tcPr>
          <w:p w14:paraId="583A804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0</w:t>
            </w:r>
          </w:p>
        </w:tc>
        <w:tc>
          <w:tcPr>
            <w:tcW w:w="390" w:type="pct"/>
            <w:tcBorders>
              <w:top w:val="nil"/>
              <w:left w:val="nil"/>
              <w:bottom w:val="single" w:sz="4" w:space="0" w:color="auto"/>
              <w:right w:val="single" w:sz="4" w:space="0" w:color="auto"/>
            </w:tcBorders>
            <w:shd w:val="clear" w:color="auto" w:fill="auto"/>
            <w:noWrap/>
            <w:hideMark/>
          </w:tcPr>
          <w:p w14:paraId="5758A4A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36,36</w:t>
            </w:r>
          </w:p>
        </w:tc>
        <w:tc>
          <w:tcPr>
            <w:tcW w:w="389" w:type="pct"/>
            <w:tcBorders>
              <w:top w:val="nil"/>
              <w:left w:val="nil"/>
              <w:bottom w:val="single" w:sz="4" w:space="0" w:color="auto"/>
              <w:right w:val="single" w:sz="4" w:space="0" w:color="auto"/>
            </w:tcBorders>
            <w:shd w:val="clear" w:color="auto" w:fill="auto"/>
            <w:noWrap/>
            <w:hideMark/>
          </w:tcPr>
          <w:p w14:paraId="7EB1414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20</w:t>
            </w:r>
          </w:p>
        </w:tc>
      </w:tr>
      <w:tr w:rsidR="000A3D7E" w:rsidRPr="009E54F6" w14:paraId="3B7E7FAF"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813E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390" w:type="pct"/>
            <w:tcBorders>
              <w:top w:val="nil"/>
              <w:left w:val="nil"/>
              <w:bottom w:val="single" w:sz="4" w:space="0" w:color="auto"/>
              <w:right w:val="single" w:sz="4" w:space="0" w:color="auto"/>
            </w:tcBorders>
            <w:shd w:val="clear" w:color="000000" w:fill="FFFFFF"/>
            <w:noWrap/>
            <w:hideMark/>
          </w:tcPr>
          <w:p w14:paraId="41EF8743"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1D24FE1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2,94</w:t>
            </w:r>
          </w:p>
        </w:tc>
        <w:tc>
          <w:tcPr>
            <w:tcW w:w="390" w:type="pct"/>
            <w:tcBorders>
              <w:top w:val="nil"/>
              <w:left w:val="nil"/>
              <w:bottom w:val="single" w:sz="4" w:space="0" w:color="auto"/>
              <w:right w:val="single" w:sz="4" w:space="0" w:color="auto"/>
            </w:tcBorders>
            <w:shd w:val="clear" w:color="auto" w:fill="auto"/>
            <w:noWrap/>
            <w:hideMark/>
          </w:tcPr>
          <w:p w14:paraId="2F348FA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2,17</w:t>
            </w:r>
          </w:p>
        </w:tc>
        <w:tc>
          <w:tcPr>
            <w:tcW w:w="390" w:type="pct"/>
            <w:tcBorders>
              <w:top w:val="nil"/>
              <w:left w:val="nil"/>
              <w:bottom w:val="single" w:sz="4" w:space="0" w:color="auto"/>
              <w:right w:val="single" w:sz="4" w:space="0" w:color="auto"/>
            </w:tcBorders>
            <w:shd w:val="clear" w:color="auto" w:fill="auto"/>
            <w:noWrap/>
            <w:hideMark/>
          </w:tcPr>
          <w:p w14:paraId="0E779E3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2,92</w:t>
            </w:r>
          </w:p>
        </w:tc>
        <w:tc>
          <w:tcPr>
            <w:tcW w:w="389" w:type="pct"/>
            <w:tcBorders>
              <w:top w:val="nil"/>
              <w:left w:val="nil"/>
              <w:bottom w:val="single" w:sz="4" w:space="0" w:color="auto"/>
              <w:right w:val="single" w:sz="4" w:space="0" w:color="auto"/>
            </w:tcBorders>
            <w:shd w:val="clear" w:color="auto" w:fill="auto"/>
            <w:noWrap/>
            <w:hideMark/>
          </w:tcPr>
          <w:p w14:paraId="1DFE2FD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3,43</w:t>
            </w:r>
          </w:p>
        </w:tc>
      </w:tr>
      <w:tr w:rsidR="000A3D7E" w:rsidRPr="009E54F6" w14:paraId="5363B8EA" w14:textId="77777777" w:rsidTr="000A3D7E">
        <w:trPr>
          <w:trHeight w:val="576"/>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52CF8"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390" w:type="pct"/>
            <w:tcBorders>
              <w:top w:val="nil"/>
              <w:left w:val="nil"/>
              <w:bottom w:val="single" w:sz="4" w:space="0" w:color="auto"/>
              <w:right w:val="single" w:sz="4" w:space="0" w:color="auto"/>
            </w:tcBorders>
            <w:shd w:val="clear" w:color="auto" w:fill="auto"/>
            <w:noWrap/>
            <w:hideMark/>
          </w:tcPr>
          <w:p w14:paraId="1ECB227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71F669E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1548A220"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1E8060E5"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89" w:type="pct"/>
            <w:tcBorders>
              <w:top w:val="nil"/>
              <w:left w:val="nil"/>
              <w:bottom w:val="single" w:sz="4" w:space="0" w:color="auto"/>
              <w:right w:val="single" w:sz="4" w:space="0" w:color="auto"/>
            </w:tcBorders>
            <w:shd w:val="clear" w:color="auto" w:fill="auto"/>
            <w:noWrap/>
            <w:hideMark/>
          </w:tcPr>
          <w:p w14:paraId="3E11FEAB"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3,23</w:t>
            </w:r>
          </w:p>
        </w:tc>
      </w:tr>
      <w:tr w:rsidR="000A3D7E" w:rsidRPr="009E54F6" w14:paraId="3F7C41FB"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9DE3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390" w:type="pct"/>
            <w:tcBorders>
              <w:top w:val="nil"/>
              <w:left w:val="nil"/>
              <w:bottom w:val="single" w:sz="4" w:space="0" w:color="auto"/>
              <w:right w:val="single" w:sz="4" w:space="0" w:color="auto"/>
            </w:tcBorders>
            <w:shd w:val="clear" w:color="auto" w:fill="auto"/>
            <w:noWrap/>
            <w:hideMark/>
          </w:tcPr>
          <w:p w14:paraId="7C8E014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1,99%</w:t>
            </w:r>
          </w:p>
        </w:tc>
        <w:tc>
          <w:tcPr>
            <w:tcW w:w="390" w:type="pct"/>
            <w:tcBorders>
              <w:top w:val="nil"/>
              <w:left w:val="nil"/>
              <w:bottom w:val="single" w:sz="4" w:space="0" w:color="auto"/>
              <w:right w:val="single" w:sz="4" w:space="0" w:color="auto"/>
            </w:tcBorders>
            <w:shd w:val="clear" w:color="auto" w:fill="auto"/>
            <w:noWrap/>
            <w:hideMark/>
          </w:tcPr>
          <w:p w14:paraId="6ED4B858"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1,09%</w:t>
            </w:r>
          </w:p>
        </w:tc>
        <w:tc>
          <w:tcPr>
            <w:tcW w:w="390" w:type="pct"/>
            <w:tcBorders>
              <w:top w:val="nil"/>
              <w:left w:val="nil"/>
              <w:bottom w:val="single" w:sz="4" w:space="0" w:color="auto"/>
              <w:right w:val="single" w:sz="4" w:space="0" w:color="auto"/>
            </w:tcBorders>
            <w:shd w:val="clear" w:color="auto" w:fill="auto"/>
            <w:noWrap/>
            <w:hideMark/>
          </w:tcPr>
          <w:p w14:paraId="71B0EBF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2B5A825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89" w:type="pct"/>
            <w:tcBorders>
              <w:top w:val="nil"/>
              <w:left w:val="nil"/>
              <w:bottom w:val="single" w:sz="4" w:space="0" w:color="auto"/>
              <w:right w:val="single" w:sz="4" w:space="0" w:color="auto"/>
            </w:tcBorders>
            <w:shd w:val="clear" w:color="000000" w:fill="FFFFFF"/>
            <w:noWrap/>
            <w:hideMark/>
          </w:tcPr>
          <w:p w14:paraId="4A47CC7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2,89%</w:t>
            </w:r>
          </w:p>
        </w:tc>
      </w:tr>
      <w:tr w:rsidR="000A3D7E" w:rsidRPr="009E54F6" w14:paraId="5C7F1493"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C15F9"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ISGC-P07-12: Número de incidencias docentes recibidas respecto al número de usuarios</w:t>
            </w:r>
          </w:p>
        </w:tc>
        <w:tc>
          <w:tcPr>
            <w:tcW w:w="390" w:type="pct"/>
            <w:tcBorders>
              <w:top w:val="nil"/>
              <w:left w:val="nil"/>
              <w:bottom w:val="single" w:sz="4" w:space="0" w:color="auto"/>
              <w:right w:val="single" w:sz="4" w:space="0" w:color="auto"/>
            </w:tcBorders>
            <w:shd w:val="clear" w:color="auto" w:fill="auto"/>
            <w:noWrap/>
            <w:hideMark/>
          </w:tcPr>
          <w:p w14:paraId="0DE3B87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742974B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757074FD"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7644F156"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89" w:type="pct"/>
            <w:tcBorders>
              <w:top w:val="nil"/>
              <w:left w:val="nil"/>
              <w:bottom w:val="single" w:sz="4" w:space="0" w:color="auto"/>
              <w:right w:val="single" w:sz="4" w:space="0" w:color="auto"/>
            </w:tcBorders>
            <w:shd w:val="clear" w:color="000000" w:fill="FFFFFF"/>
            <w:noWrap/>
            <w:hideMark/>
          </w:tcPr>
          <w:p w14:paraId="4DEB71F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r w:rsidR="000A3D7E" w:rsidRPr="009E54F6" w14:paraId="6C64294D"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52612"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ISGC-P07-13: Número de sugerencias recibidas respecto al número de usuarios </w:t>
            </w:r>
          </w:p>
        </w:tc>
        <w:tc>
          <w:tcPr>
            <w:tcW w:w="390" w:type="pct"/>
            <w:tcBorders>
              <w:top w:val="nil"/>
              <w:left w:val="nil"/>
              <w:bottom w:val="single" w:sz="4" w:space="0" w:color="auto"/>
              <w:right w:val="single" w:sz="4" w:space="0" w:color="auto"/>
            </w:tcBorders>
            <w:shd w:val="clear" w:color="auto" w:fill="auto"/>
            <w:noWrap/>
            <w:hideMark/>
          </w:tcPr>
          <w:p w14:paraId="01D22BC7"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76E61D59"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7500D80A"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3C6D006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89" w:type="pct"/>
            <w:tcBorders>
              <w:top w:val="nil"/>
              <w:left w:val="nil"/>
              <w:bottom w:val="single" w:sz="4" w:space="0" w:color="auto"/>
              <w:right w:val="single" w:sz="4" w:space="0" w:color="auto"/>
            </w:tcBorders>
            <w:shd w:val="clear" w:color="000000" w:fill="FFFFFF"/>
            <w:noWrap/>
            <w:hideMark/>
          </w:tcPr>
          <w:p w14:paraId="3CB44FBF"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r w:rsidR="000A3D7E" w:rsidRPr="009E54F6" w14:paraId="67D09F11" w14:textId="77777777" w:rsidTr="000A3D7E">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163C9" w14:textId="77777777" w:rsidR="000A3D7E" w:rsidRPr="009E54F6" w:rsidRDefault="000A3D7E" w:rsidP="000A3D7E">
            <w:pPr>
              <w:spacing w:after="0" w:line="240" w:lineRule="auto"/>
              <w:rPr>
                <w:rFonts w:asciiTheme="minorHAnsi" w:eastAsia="Times New Roman" w:hAnsiTheme="minorHAnsi"/>
                <w:color w:val="000000"/>
                <w:sz w:val="16"/>
                <w:szCs w:val="16"/>
                <w:lang w:eastAsia="es-ES"/>
              </w:rPr>
            </w:pPr>
            <w:r w:rsidRPr="009E54F6">
              <w:rPr>
                <w:rFonts w:asciiTheme="minorHAnsi" w:eastAsia="Times New Roman" w:hAnsiTheme="minorHAnsi"/>
                <w:color w:val="000000"/>
                <w:sz w:val="16"/>
                <w:szCs w:val="16"/>
                <w:lang w:eastAsia="es-ES"/>
              </w:rPr>
              <w:t xml:space="preserve">ISGC-P07-14: Número de felicitaciones recibidas respecto al número de usuarios </w:t>
            </w:r>
          </w:p>
        </w:tc>
        <w:tc>
          <w:tcPr>
            <w:tcW w:w="390" w:type="pct"/>
            <w:tcBorders>
              <w:top w:val="nil"/>
              <w:left w:val="nil"/>
              <w:bottom w:val="single" w:sz="4" w:space="0" w:color="auto"/>
              <w:right w:val="single" w:sz="4" w:space="0" w:color="auto"/>
            </w:tcBorders>
            <w:shd w:val="clear" w:color="auto" w:fill="auto"/>
            <w:noWrap/>
            <w:hideMark/>
          </w:tcPr>
          <w:p w14:paraId="39ADF6C1"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61E010B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6BED5A8C"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90" w:type="pct"/>
            <w:tcBorders>
              <w:top w:val="nil"/>
              <w:left w:val="nil"/>
              <w:bottom w:val="single" w:sz="4" w:space="0" w:color="auto"/>
              <w:right w:val="single" w:sz="4" w:space="0" w:color="auto"/>
            </w:tcBorders>
            <w:shd w:val="clear" w:color="auto" w:fill="auto"/>
            <w:noWrap/>
            <w:hideMark/>
          </w:tcPr>
          <w:p w14:paraId="0BB79D8E"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c>
          <w:tcPr>
            <w:tcW w:w="389" w:type="pct"/>
            <w:tcBorders>
              <w:top w:val="nil"/>
              <w:left w:val="nil"/>
              <w:bottom w:val="single" w:sz="4" w:space="0" w:color="auto"/>
              <w:right w:val="single" w:sz="4" w:space="0" w:color="auto"/>
            </w:tcBorders>
            <w:shd w:val="clear" w:color="000000" w:fill="FFFFFF"/>
            <w:noWrap/>
            <w:hideMark/>
          </w:tcPr>
          <w:p w14:paraId="1E240B42" w14:textId="77777777" w:rsidR="000A3D7E" w:rsidRPr="009E54F6" w:rsidRDefault="000A3D7E" w:rsidP="000A3D7E">
            <w:pPr>
              <w:spacing w:after="0" w:line="240" w:lineRule="auto"/>
              <w:jc w:val="center"/>
              <w:rPr>
                <w:rFonts w:asciiTheme="minorHAnsi" w:eastAsia="Times New Roman" w:hAnsiTheme="minorHAnsi"/>
                <w:color w:val="000000"/>
                <w:sz w:val="16"/>
                <w:szCs w:val="16"/>
                <w:lang w:eastAsia="es-ES"/>
              </w:rPr>
            </w:pPr>
            <w:r w:rsidRPr="00AE14B1">
              <w:rPr>
                <w:sz w:val="16"/>
                <w:szCs w:val="16"/>
              </w:rPr>
              <w:t>-</w:t>
            </w:r>
          </w:p>
        </w:tc>
      </w:tr>
    </w:tbl>
    <w:p w14:paraId="497342F1" w14:textId="77777777" w:rsidR="001D093C" w:rsidRDefault="001D093C" w:rsidP="00BB1529">
      <w:pPr>
        <w:spacing w:after="0"/>
        <w:rPr>
          <w:sz w:val="18"/>
        </w:rPr>
      </w:pPr>
    </w:p>
    <w:p w14:paraId="65DBE360" w14:textId="67333BF5" w:rsidR="00107603" w:rsidRDefault="00107603" w:rsidP="00107603">
      <w:pPr>
        <w:spacing w:after="0"/>
        <w:jc w:val="both"/>
        <w:rPr>
          <w:sz w:val="18"/>
        </w:rPr>
      </w:pPr>
      <w:r>
        <w:rPr>
          <w:sz w:val="18"/>
        </w:rPr>
        <w:t>En el curso 2020-21, ha aumentado la tasa de respuesta de la encuesta para el análisis de la satisfacción por parte del Alumnado y el PDI, así como el grado de satisfacción global con el título</w:t>
      </w:r>
      <w:r w:rsidR="009E54F6">
        <w:rPr>
          <w:sz w:val="18"/>
        </w:rPr>
        <w:t xml:space="preserve">, </w:t>
      </w:r>
      <w:r>
        <w:rPr>
          <w:sz w:val="18"/>
        </w:rPr>
        <w:t xml:space="preserve">siendo </w:t>
      </w:r>
      <w:r w:rsidR="009E54F6">
        <w:rPr>
          <w:sz w:val="18"/>
        </w:rPr>
        <w:t xml:space="preserve">éste </w:t>
      </w:r>
      <w:r>
        <w:rPr>
          <w:sz w:val="18"/>
        </w:rPr>
        <w:t xml:space="preserve">superior al del Centro. Esta mejora, puede estar relacionada con las acciones llevadas desde la coordinación del título. Los coordinadores del título han recordado a los alumnos, mediante correos y avisos lanzados desde un curso de coordinación que tienen en el campus virtual, la fechas e importancia de conocer el grado de satisfacción con el título, con el fin de poder establecer mejoras continuas. </w:t>
      </w:r>
    </w:p>
    <w:p w14:paraId="3FAED32F" w14:textId="77777777" w:rsidR="001D093C" w:rsidRDefault="001D093C" w:rsidP="00BB1529">
      <w:pPr>
        <w:spacing w:after="0"/>
        <w:rPr>
          <w:sz w:val="18"/>
        </w:rPr>
      </w:pPr>
    </w:p>
    <w:p w14:paraId="30E88ED6" w14:textId="77777777" w:rsidR="00107603" w:rsidRDefault="00107603" w:rsidP="00AE14B1">
      <w:pPr>
        <w:spacing w:after="0"/>
        <w:jc w:val="both"/>
        <w:rPr>
          <w:sz w:val="18"/>
        </w:rPr>
      </w:pPr>
      <w:r>
        <w:rPr>
          <w:sz w:val="18"/>
        </w:rPr>
        <w:t xml:space="preserve">No disponemos de muchos datos de inserción laboral debido a que la encuesta se ejecuta a los tres años de finalizar dicho título. En el curso 2020/21, se han realizado las encuestas a los egresados 2016/17 y 2017/18. </w:t>
      </w:r>
    </w:p>
    <w:p w14:paraId="033A7E22" w14:textId="77777777" w:rsidR="0066469D" w:rsidRPr="002F2997" w:rsidRDefault="0066469D" w:rsidP="002F2997">
      <w:pPr>
        <w:spacing w:after="0"/>
        <w:jc w:val="both"/>
        <w:rPr>
          <w:color w:val="4F81BD" w:themeColor="accent1"/>
          <w:sz w:val="16"/>
          <w:szCs w:val="16"/>
        </w:rPr>
      </w:pPr>
    </w:p>
    <w:p w14:paraId="760585FC" w14:textId="77777777" w:rsidR="002F2997" w:rsidRDefault="002F2997" w:rsidP="00BB1529">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7025BF" w14:paraId="7E944CAD" w14:textId="77777777" w:rsidTr="00D135EE">
        <w:trPr>
          <w:jc w:val="center"/>
        </w:trPr>
        <w:tc>
          <w:tcPr>
            <w:tcW w:w="5000" w:type="pct"/>
            <w:shd w:val="clear" w:color="auto" w:fill="00607C"/>
          </w:tcPr>
          <w:p w14:paraId="4CF2181F" w14:textId="77777777" w:rsidR="002F2997" w:rsidRPr="007025BF" w:rsidRDefault="002F2997" w:rsidP="00D135EE">
            <w:pPr>
              <w:spacing w:after="0" w:line="240" w:lineRule="auto"/>
              <w:jc w:val="both"/>
              <w:rPr>
                <w:b/>
                <w:i/>
                <w:color w:val="FFFFFF"/>
                <w:sz w:val="20"/>
                <w:szCs w:val="20"/>
              </w:rPr>
            </w:pPr>
            <w:r w:rsidRPr="007025BF">
              <w:rPr>
                <w:b/>
                <w:i/>
                <w:color w:val="FFFFFF"/>
                <w:sz w:val="20"/>
                <w:szCs w:val="20"/>
              </w:rPr>
              <w:t>Puntos Fuertes:</w:t>
            </w:r>
          </w:p>
        </w:tc>
      </w:tr>
      <w:tr w:rsidR="002F2997" w:rsidRPr="00037BD7" w14:paraId="527F22F3" w14:textId="77777777" w:rsidTr="00D135EE">
        <w:trPr>
          <w:jc w:val="center"/>
        </w:trPr>
        <w:tc>
          <w:tcPr>
            <w:tcW w:w="5000" w:type="pct"/>
            <w:tcBorders>
              <w:bottom w:val="single" w:sz="4" w:space="0" w:color="auto"/>
            </w:tcBorders>
          </w:tcPr>
          <w:p w14:paraId="1A4E8CE0" w14:textId="77777777" w:rsidR="002F2997" w:rsidRPr="00037BD7" w:rsidRDefault="00FD316A" w:rsidP="00D135EE">
            <w:pPr>
              <w:autoSpaceDE w:val="0"/>
              <w:autoSpaceDN w:val="0"/>
              <w:adjustRightInd w:val="0"/>
              <w:spacing w:after="0" w:line="240" w:lineRule="auto"/>
              <w:jc w:val="both"/>
              <w:rPr>
                <w:sz w:val="18"/>
              </w:rPr>
            </w:pPr>
            <w:r w:rsidRPr="007025BF">
              <w:rPr>
                <w:sz w:val="18"/>
              </w:rPr>
              <w:t>2020-21: Alta Tasa efectiva de inserción profesional en un sector profesional relacionado con los estudios realizados (año realización encuesta)</w:t>
            </w:r>
          </w:p>
        </w:tc>
      </w:tr>
    </w:tbl>
    <w:p w14:paraId="496D0C0B" w14:textId="77777777" w:rsidR="0066469D" w:rsidRDefault="0066469D" w:rsidP="002F2997">
      <w:pPr>
        <w:pStyle w:val="Default"/>
        <w:jc w:val="both"/>
        <w:rPr>
          <w:rFonts w:asciiTheme="minorHAnsi" w:hAnsiTheme="minorHAnsi"/>
          <w:noProof/>
          <w:color w:val="548DD4" w:themeColor="text2" w:themeTint="99"/>
          <w:sz w:val="16"/>
          <w:szCs w:val="16"/>
        </w:rPr>
      </w:pPr>
    </w:p>
    <w:p w14:paraId="7773E593" w14:textId="77777777" w:rsidR="0066469D" w:rsidRPr="00876C7D" w:rsidRDefault="0066469D" w:rsidP="002F2997">
      <w:pPr>
        <w:pStyle w:val="Default"/>
        <w:jc w:val="both"/>
        <w:rPr>
          <w:rFonts w:asciiTheme="minorHAnsi" w:hAnsiTheme="minorHAnsi"/>
          <w:noProof/>
          <w:color w:val="548DD4" w:themeColor="text2" w:themeTint="99"/>
          <w:sz w:val="16"/>
          <w:szCs w:val="16"/>
        </w:rPr>
      </w:pPr>
    </w:p>
    <w:p w14:paraId="16CB4062" w14:textId="77777777" w:rsidR="00FE670B" w:rsidRPr="0086419B" w:rsidRDefault="00FE670B"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4085"/>
        <w:gridCol w:w="4086"/>
      </w:tblGrid>
      <w:tr w:rsidR="00FE670B" w:rsidRPr="008A24E7" w14:paraId="05F747BB" w14:textId="77777777" w:rsidTr="00B416FA">
        <w:trPr>
          <w:jc w:val="center"/>
        </w:trPr>
        <w:tc>
          <w:tcPr>
            <w:tcW w:w="520" w:type="pct"/>
            <w:tcBorders>
              <w:left w:val="single" w:sz="4" w:space="0" w:color="auto"/>
              <w:right w:val="single" w:sz="4" w:space="0" w:color="auto"/>
            </w:tcBorders>
            <w:shd w:val="clear" w:color="auto" w:fill="auto"/>
            <w:vAlign w:val="center"/>
          </w:tcPr>
          <w:p w14:paraId="0E719BF6" w14:textId="77777777" w:rsidR="00FE670B" w:rsidRPr="004B4751" w:rsidRDefault="00FE670B" w:rsidP="00B65108">
            <w:pPr>
              <w:spacing w:after="0" w:line="240" w:lineRule="auto"/>
              <w:jc w:val="center"/>
              <w:rPr>
                <w:b/>
                <w:sz w:val="16"/>
                <w:szCs w:val="16"/>
              </w:rPr>
            </w:pPr>
            <w:r w:rsidRPr="004B4751">
              <w:rPr>
                <w:b/>
                <w:sz w:val="16"/>
                <w:szCs w:val="16"/>
              </w:rPr>
              <w:t xml:space="preserve">Fecha del informe </w:t>
            </w:r>
            <w:r>
              <w:rPr>
                <w:b/>
                <w:sz w:val="16"/>
                <w:szCs w:val="16"/>
              </w:rPr>
              <w:t>DEVA (Especificar tipo de informe DEVA) (*)</w:t>
            </w:r>
          </w:p>
        </w:tc>
        <w:tc>
          <w:tcPr>
            <w:tcW w:w="2240" w:type="pct"/>
            <w:tcBorders>
              <w:left w:val="single" w:sz="4" w:space="0" w:color="auto"/>
              <w:right w:val="single" w:sz="4" w:space="0" w:color="auto"/>
            </w:tcBorders>
            <w:shd w:val="clear" w:color="auto" w:fill="auto"/>
            <w:vAlign w:val="center"/>
          </w:tcPr>
          <w:p w14:paraId="3778F439" w14:textId="77777777" w:rsidR="00FE670B" w:rsidRPr="004B4751" w:rsidRDefault="00FE670B" w:rsidP="00B65108">
            <w:pPr>
              <w:spacing w:after="0" w:line="240" w:lineRule="auto"/>
              <w:jc w:val="center"/>
              <w:rPr>
                <w:b/>
                <w:sz w:val="16"/>
                <w:szCs w:val="16"/>
              </w:rPr>
            </w:pPr>
            <w:r>
              <w:rPr>
                <w:b/>
                <w:sz w:val="16"/>
                <w:szCs w:val="16"/>
              </w:rPr>
              <w:t>Recomendaciones recibidas</w:t>
            </w:r>
          </w:p>
        </w:tc>
        <w:tc>
          <w:tcPr>
            <w:tcW w:w="2240" w:type="pct"/>
            <w:tcBorders>
              <w:left w:val="single" w:sz="4" w:space="0" w:color="auto"/>
              <w:right w:val="single" w:sz="4" w:space="0" w:color="auto"/>
            </w:tcBorders>
            <w:shd w:val="clear" w:color="auto" w:fill="auto"/>
            <w:vAlign w:val="center"/>
          </w:tcPr>
          <w:p w14:paraId="363E0FF7" w14:textId="77777777" w:rsidR="00FE670B" w:rsidRPr="004B4751" w:rsidRDefault="00FE670B" w:rsidP="00B65108">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FE670B" w:rsidRPr="008A24E7" w14:paraId="4C8E2C39" w14:textId="77777777" w:rsidTr="00B416FA">
        <w:trPr>
          <w:jc w:val="center"/>
        </w:trPr>
        <w:tc>
          <w:tcPr>
            <w:tcW w:w="520" w:type="pct"/>
            <w:tcBorders>
              <w:left w:val="single" w:sz="4" w:space="0" w:color="auto"/>
              <w:right w:val="single" w:sz="4" w:space="0" w:color="auto"/>
            </w:tcBorders>
            <w:vAlign w:val="center"/>
          </w:tcPr>
          <w:p w14:paraId="7A8791F8" w14:textId="0F9496A4" w:rsidR="00FE670B" w:rsidRPr="004B4751" w:rsidRDefault="00FE670B" w:rsidP="00B65108">
            <w:pPr>
              <w:spacing w:after="0" w:line="240" w:lineRule="auto"/>
              <w:ind w:left="-138"/>
              <w:jc w:val="center"/>
              <w:rPr>
                <w:sz w:val="16"/>
                <w:szCs w:val="16"/>
              </w:rPr>
            </w:pPr>
          </w:p>
        </w:tc>
        <w:tc>
          <w:tcPr>
            <w:tcW w:w="2240" w:type="pct"/>
            <w:tcBorders>
              <w:left w:val="single" w:sz="4" w:space="0" w:color="auto"/>
              <w:right w:val="single" w:sz="4" w:space="0" w:color="auto"/>
            </w:tcBorders>
            <w:vAlign w:val="center"/>
          </w:tcPr>
          <w:p w14:paraId="7DC76E38" w14:textId="77777777" w:rsidR="00FE670B" w:rsidRPr="004B4751" w:rsidRDefault="00FE670B" w:rsidP="00AE14B1">
            <w:pPr>
              <w:spacing w:after="0" w:line="240" w:lineRule="auto"/>
              <w:jc w:val="both"/>
              <w:rPr>
                <w:i/>
                <w:sz w:val="16"/>
                <w:szCs w:val="16"/>
              </w:rPr>
            </w:pPr>
          </w:p>
        </w:tc>
        <w:tc>
          <w:tcPr>
            <w:tcW w:w="2240" w:type="pct"/>
            <w:tcBorders>
              <w:left w:val="single" w:sz="4" w:space="0" w:color="auto"/>
              <w:right w:val="single" w:sz="4" w:space="0" w:color="auto"/>
            </w:tcBorders>
          </w:tcPr>
          <w:p w14:paraId="072C60E7" w14:textId="77777777" w:rsidR="00FE670B" w:rsidRPr="004B4751" w:rsidRDefault="00FE670B" w:rsidP="00B65108">
            <w:pPr>
              <w:spacing w:after="0" w:line="240" w:lineRule="auto"/>
              <w:rPr>
                <w:b/>
                <w:sz w:val="16"/>
                <w:szCs w:val="16"/>
              </w:rPr>
            </w:pPr>
          </w:p>
        </w:tc>
      </w:tr>
    </w:tbl>
    <w:p w14:paraId="05436A4A"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641038B1" w14:textId="77777777" w:rsidR="002F2997" w:rsidRPr="003A185B" w:rsidRDefault="002F2997" w:rsidP="002F2997">
      <w:pPr>
        <w:spacing w:after="120" w:line="240" w:lineRule="auto"/>
        <w:jc w:val="both"/>
        <w:rPr>
          <w:rFonts w:asciiTheme="minorHAnsi" w:hAnsiTheme="minorHAnsi"/>
          <w:color w:val="FF0000"/>
          <w:sz w:val="16"/>
          <w:szCs w:val="16"/>
        </w:rPr>
      </w:pPr>
    </w:p>
    <w:p w14:paraId="5D5BD31D" w14:textId="77777777" w:rsidR="00AB4B41" w:rsidRDefault="00AB4B41"/>
    <w:p w14:paraId="26BEE032" w14:textId="77777777" w:rsidR="00D02560" w:rsidRDefault="00D02560">
      <w:pPr>
        <w:sectPr w:rsidR="00D02560" w:rsidSect="00751C4D">
          <w:headerReference w:type="default" r:id="rId53"/>
          <w:footerReference w:type="default" r:id="rId54"/>
          <w:headerReference w:type="first" r:id="rId55"/>
          <w:footerReference w:type="first" r:id="rId56"/>
          <w:pgSz w:w="11906" w:h="16838"/>
          <w:pgMar w:top="1134" w:right="1191" w:bottom="1134" w:left="1560" w:header="284" w:footer="709" w:gutter="0"/>
          <w:pgNumType w:chapStyle="1"/>
          <w:cols w:space="708"/>
          <w:titlePg/>
          <w:docGrid w:linePitch="360"/>
        </w:sectPr>
      </w:pPr>
    </w:p>
    <w:p w14:paraId="03AB9DC8" w14:textId="77777777" w:rsidR="00AB4B41" w:rsidRDefault="00AB4B41"/>
    <w:p w14:paraId="69D0BD4C" w14:textId="77777777" w:rsidR="00D02560" w:rsidRDefault="00D02560"/>
    <w:p w14:paraId="07FAFCEE" w14:textId="77777777" w:rsidR="00D02560" w:rsidRPr="00D02560" w:rsidRDefault="00D02560" w:rsidP="00D02560">
      <w:pPr>
        <w:jc w:val="center"/>
        <w:rPr>
          <w:b/>
          <w:sz w:val="44"/>
          <w:szCs w:val="44"/>
        </w:rPr>
      </w:pPr>
      <w:r w:rsidRPr="00D02560">
        <w:rPr>
          <w:b/>
          <w:sz w:val="44"/>
          <w:szCs w:val="44"/>
        </w:rPr>
        <w:t>PLAN DE MEJORAS</w:t>
      </w:r>
    </w:p>
    <w:p w14:paraId="42C5F4A7" w14:textId="77777777" w:rsidR="00D02560" w:rsidRDefault="00D02560"/>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2860"/>
        <w:gridCol w:w="1953"/>
        <w:gridCol w:w="1950"/>
        <w:gridCol w:w="1521"/>
        <w:gridCol w:w="2474"/>
      </w:tblGrid>
      <w:tr w:rsidR="00D02560" w:rsidRPr="00282283" w14:paraId="3D1F0619" w14:textId="77777777" w:rsidTr="00D135EE">
        <w:trPr>
          <w:trHeight w:val="340"/>
          <w:jc w:val="center"/>
        </w:trPr>
        <w:tc>
          <w:tcPr>
            <w:tcW w:w="1265" w:type="pct"/>
            <w:shd w:val="clear" w:color="auto" w:fill="00607C"/>
            <w:vAlign w:val="center"/>
          </w:tcPr>
          <w:p w14:paraId="3F477B5E" w14:textId="77777777"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Recomendación DEVA o punto débil</w:t>
            </w:r>
            <w:r w:rsidRPr="005A1713">
              <w:rPr>
                <w:rFonts w:asciiTheme="minorHAnsi" w:hAnsiTheme="minorHAnsi" w:cstheme="minorHAnsi"/>
                <w:b/>
                <w:color w:val="FFFFFF"/>
                <w:sz w:val="20"/>
                <w:szCs w:val="20"/>
              </w:rPr>
              <w:t xml:space="preserve"> </w:t>
            </w:r>
          </w:p>
        </w:tc>
        <w:tc>
          <w:tcPr>
            <w:tcW w:w="993" w:type="pct"/>
            <w:shd w:val="clear" w:color="auto" w:fill="00607C"/>
            <w:vAlign w:val="center"/>
          </w:tcPr>
          <w:p w14:paraId="345490AD"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Acciones de mejora a desarrollar</w:t>
            </w:r>
          </w:p>
        </w:tc>
        <w:tc>
          <w:tcPr>
            <w:tcW w:w="678" w:type="pct"/>
            <w:shd w:val="clear" w:color="auto" w:fill="00607C"/>
            <w:vAlign w:val="center"/>
          </w:tcPr>
          <w:p w14:paraId="2B3F1A49"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Responsable</w:t>
            </w:r>
          </w:p>
        </w:tc>
        <w:tc>
          <w:tcPr>
            <w:tcW w:w="677" w:type="pct"/>
            <w:shd w:val="clear" w:color="auto" w:fill="00607C"/>
            <w:vAlign w:val="center"/>
          </w:tcPr>
          <w:p w14:paraId="2EE02967" w14:textId="77777777"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w:t>
            </w:r>
            <w:r w:rsidRPr="005A1713">
              <w:rPr>
                <w:rFonts w:asciiTheme="minorHAnsi" w:hAnsiTheme="minorHAnsi" w:cstheme="minorHAnsi"/>
                <w:b/>
                <w:color w:val="FFFFFF"/>
                <w:sz w:val="20"/>
                <w:szCs w:val="20"/>
              </w:rPr>
              <w:t xml:space="preserve"> de inicio</w:t>
            </w:r>
          </w:p>
        </w:tc>
        <w:tc>
          <w:tcPr>
            <w:tcW w:w="528" w:type="pct"/>
            <w:shd w:val="clear" w:color="auto" w:fill="00607C"/>
            <w:vAlign w:val="center"/>
          </w:tcPr>
          <w:p w14:paraId="68A127D0" w14:textId="77777777"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 de finalización</w:t>
            </w:r>
          </w:p>
        </w:tc>
        <w:tc>
          <w:tcPr>
            <w:tcW w:w="859" w:type="pct"/>
            <w:shd w:val="clear" w:color="auto" w:fill="00607C"/>
            <w:vAlign w:val="center"/>
          </w:tcPr>
          <w:p w14:paraId="098136C6"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Indicador de seguimiento (en su caso)</w:t>
            </w:r>
          </w:p>
        </w:tc>
      </w:tr>
      <w:tr w:rsidR="00D02560" w:rsidRPr="00282283" w14:paraId="3B0ED3E9" w14:textId="77777777" w:rsidTr="00D135EE">
        <w:trPr>
          <w:trHeight w:val="340"/>
          <w:jc w:val="center"/>
        </w:trPr>
        <w:tc>
          <w:tcPr>
            <w:tcW w:w="1265" w:type="pct"/>
            <w:vAlign w:val="center"/>
          </w:tcPr>
          <w:p w14:paraId="6A39C173" w14:textId="77777777" w:rsidR="00D02560" w:rsidRPr="00282283" w:rsidRDefault="00D43C55" w:rsidP="00D135EE">
            <w:pPr>
              <w:jc w:val="both"/>
              <w:rPr>
                <w:rFonts w:asciiTheme="minorHAnsi" w:hAnsiTheme="minorHAnsi" w:cstheme="minorHAnsi"/>
                <w:b/>
                <w:sz w:val="18"/>
                <w:szCs w:val="18"/>
              </w:rPr>
            </w:pPr>
            <w:r w:rsidRPr="008933C3">
              <w:rPr>
                <w:rFonts w:asciiTheme="minorHAnsi" w:hAnsiTheme="minorHAnsi"/>
                <w:sz w:val="16"/>
                <w:szCs w:val="16"/>
              </w:rPr>
              <w:t>Se recomienda evaluar la conveniencia de unificar las dos webs del Título o bien garantizar que no se produzcan inconsistencias en la información que se muestra en ambas webs</w:t>
            </w:r>
          </w:p>
        </w:tc>
        <w:tc>
          <w:tcPr>
            <w:tcW w:w="993" w:type="pct"/>
            <w:vAlign w:val="center"/>
          </w:tcPr>
          <w:p w14:paraId="44BF46D9" w14:textId="77777777" w:rsidR="00D02560" w:rsidRPr="00282283" w:rsidRDefault="00D43C55" w:rsidP="00D135EE">
            <w:pPr>
              <w:jc w:val="both"/>
              <w:rPr>
                <w:rFonts w:asciiTheme="minorHAnsi" w:hAnsiTheme="minorHAnsi" w:cstheme="minorHAnsi"/>
                <w:sz w:val="18"/>
                <w:szCs w:val="18"/>
              </w:rPr>
            </w:pPr>
            <w:r w:rsidRPr="00B336B3">
              <w:rPr>
                <w:rFonts w:asciiTheme="minorHAnsi" w:eastAsia="Times New Roman" w:hAnsiTheme="minorHAnsi" w:cs="Arial"/>
                <w:sz w:val="16"/>
                <w:szCs w:val="16"/>
              </w:rPr>
              <w:t>Revisar la información publicada en las dos webs de cada una de las Universidades participantes en la impartición del Título, para garantizar que no se produzcan inconsistencias en la información</w:t>
            </w:r>
          </w:p>
        </w:tc>
        <w:tc>
          <w:tcPr>
            <w:tcW w:w="678" w:type="pct"/>
            <w:vAlign w:val="center"/>
          </w:tcPr>
          <w:p w14:paraId="790DC626" w14:textId="77777777" w:rsidR="00D02560" w:rsidRPr="00282283" w:rsidRDefault="00D43C55" w:rsidP="00D135EE">
            <w:pPr>
              <w:jc w:val="both"/>
              <w:rPr>
                <w:rFonts w:asciiTheme="minorHAnsi" w:hAnsiTheme="minorHAnsi" w:cstheme="minorHAnsi"/>
                <w:sz w:val="18"/>
                <w:szCs w:val="18"/>
              </w:rPr>
            </w:pPr>
            <w:r w:rsidRPr="00433639">
              <w:rPr>
                <w:rFonts w:asciiTheme="minorHAnsi" w:hAnsiTheme="minorHAnsi"/>
                <w:sz w:val="16"/>
                <w:szCs w:val="16"/>
              </w:rPr>
              <w:t>Coordinadores del máster en ambas Universidades participantes</w:t>
            </w:r>
          </w:p>
        </w:tc>
        <w:tc>
          <w:tcPr>
            <w:tcW w:w="677" w:type="pct"/>
            <w:vAlign w:val="center"/>
          </w:tcPr>
          <w:p w14:paraId="20779F69" w14:textId="77777777" w:rsidR="00D02560" w:rsidRPr="00282283" w:rsidRDefault="00D43C55" w:rsidP="00D135EE">
            <w:pPr>
              <w:jc w:val="center"/>
              <w:rPr>
                <w:rFonts w:asciiTheme="minorHAnsi" w:hAnsiTheme="minorHAnsi" w:cstheme="minorHAnsi"/>
                <w:sz w:val="18"/>
                <w:szCs w:val="18"/>
              </w:rPr>
            </w:pPr>
            <w:r>
              <w:rPr>
                <w:rFonts w:asciiTheme="minorHAnsi" w:hAnsiTheme="minorHAnsi" w:cstheme="minorHAnsi"/>
                <w:sz w:val="18"/>
                <w:szCs w:val="18"/>
              </w:rPr>
              <w:t>2019-09-01</w:t>
            </w:r>
          </w:p>
        </w:tc>
        <w:tc>
          <w:tcPr>
            <w:tcW w:w="528" w:type="pct"/>
            <w:vAlign w:val="center"/>
          </w:tcPr>
          <w:p w14:paraId="282B3F82" w14:textId="77777777" w:rsidR="00D02560" w:rsidRPr="00282283" w:rsidRDefault="00D43C55" w:rsidP="00D135EE">
            <w:pPr>
              <w:jc w:val="center"/>
              <w:rPr>
                <w:rFonts w:asciiTheme="minorHAnsi" w:hAnsiTheme="minorHAnsi" w:cstheme="minorHAnsi"/>
                <w:sz w:val="18"/>
                <w:szCs w:val="18"/>
              </w:rPr>
            </w:pPr>
            <w:r>
              <w:rPr>
                <w:rFonts w:asciiTheme="minorHAnsi" w:hAnsiTheme="minorHAnsi" w:cstheme="minorHAnsi"/>
                <w:sz w:val="18"/>
                <w:szCs w:val="18"/>
              </w:rPr>
              <w:t>2019-10-30</w:t>
            </w:r>
          </w:p>
        </w:tc>
        <w:tc>
          <w:tcPr>
            <w:tcW w:w="859" w:type="pct"/>
            <w:vAlign w:val="center"/>
          </w:tcPr>
          <w:p w14:paraId="665582A6" w14:textId="00720956" w:rsidR="00D02560" w:rsidRDefault="00D43C55" w:rsidP="007338F5">
            <w:pPr>
              <w:rPr>
                <w:rFonts w:asciiTheme="minorHAnsi" w:hAnsiTheme="minorHAnsi" w:cstheme="minorHAnsi"/>
                <w:sz w:val="18"/>
                <w:szCs w:val="18"/>
              </w:rPr>
            </w:pPr>
            <w:r>
              <w:rPr>
                <w:rFonts w:asciiTheme="minorHAnsi" w:hAnsiTheme="minorHAnsi" w:cstheme="minorHAnsi"/>
                <w:sz w:val="18"/>
                <w:szCs w:val="18"/>
              </w:rPr>
              <w:t>ISCG-P01-01</w:t>
            </w:r>
            <w:r w:rsidR="007338F5">
              <w:rPr>
                <w:rFonts w:asciiTheme="minorHAnsi" w:hAnsiTheme="minorHAnsi" w:cstheme="minorHAnsi"/>
                <w:sz w:val="18"/>
                <w:szCs w:val="18"/>
              </w:rPr>
              <w:t xml:space="preserve"> (</w:t>
            </w:r>
            <w:r w:rsidR="007338F5" w:rsidRPr="007338F5">
              <w:rPr>
                <w:rFonts w:asciiTheme="minorHAnsi" w:hAnsiTheme="minorHAnsi" w:cstheme="minorHAnsi"/>
                <w:bCs/>
                <w:sz w:val="18"/>
                <w:szCs w:val="18"/>
                <w:lang w:val="es-ES_tradnl"/>
              </w:rPr>
              <w:t>Grado de satisfacción del alumnado con la información publicada del Título-Centro</w:t>
            </w:r>
            <w:r w:rsidR="007338F5">
              <w:rPr>
                <w:rFonts w:asciiTheme="minorHAnsi" w:hAnsiTheme="minorHAnsi" w:cstheme="minorHAnsi"/>
                <w:sz w:val="18"/>
                <w:szCs w:val="18"/>
              </w:rPr>
              <w:t>): 4,08 (2017-18) 3,25 (2018-19) y 3,79 (2020-21)</w:t>
            </w:r>
          </w:p>
          <w:p w14:paraId="1E303931" w14:textId="48119A33" w:rsidR="007338F5" w:rsidRPr="00282283" w:rsidRDefault="007338F5" w:rsidP="007338F5">
            <w:pPr>
              <w:rPr>
                <w:rFonts w:asciiTheme="minorHAnsi" w:hAnsiTheme="minorHAnsi" w:cstheme="minorHAnsi"/>
                <w:sz w:val="18"/>
                <w:szCs w:val="18"/>
              </w:rPr>
            </w:pPr>
          </w:p>
        </w:tc>
      </w:tr>
      <w:tr w:rsidR="00D43C55" w:rsidRPr="00282283" w14:paraId="1406D616" w14:textId="77777777" w:rsidTr="00D135EE">
        <w:trPr>
          <w:trHeight w:val="340"/>
          <w:jc w:val="center"/>
        </w:trPr>
        <w:tc>
          <w:tcPr>
            <w:tcW w:w="1265" w:type="pct"/>
            <w:vAlign w:val="center"/>
          </w:tcPr>
          <w:p w14:paraId="42E45395" w14:textId="77777777" w:rsidR="00D43C55" w:rsidRPr="00282283" w:rsidRDefault="00D43C55" w:rsidP="00106623">
            <w:pPr>
              <w:jc w:val="both"/>
              <w:rPr>
                <w:rFonts w:asciiTheme="minorHAnsi" w:hAnsiTheme="minorHAnsi" w:cstheme="minorHAnsi"/>
                <w:b/>
                <w:sz w:val="18"/>
                <w:szCs w:val="18"/>
              </w:rPr>
            </w:pPr>
            <w:r w:rsidRPr="002133C7">
              <w:rPr>
                <w:sz w:val="16"/>
                <w:szCs w:val="16"/>
              </w:rPr>
              <w:t>Se recomienda revisar el gestor documental para unificarlo y evitar la complejidad que genera la dispersión en distintas plataformas con distintas contraseñas</w:t>
            </w:r>
          </w:p>
        </w:tc>
        <w:tc>
          <w:tcPr>
            <w:tcW w:w="993" w:type="pct"/>
            <w:vAlign w:val="center"/>
          </w:tcPr>
          <w:p w14:paraId="4C674EF9" w14:textId="6901F7E0" w:rsidR="00D43C55" w:rsidRPr="007338F5" w:rsidRDefault="007338F5" w:rsidP="00106623">
            <w:pPr>
              <w:jc w:val="both"/>
              <w:rPr>
                <w:rFonts w:asciiTheme="minorHAnsi" w:hAnsiTheme="minorHAnsi" w:cstheme="minorHAnsi"/>
                <w:sz w:val="16"/>
                <w:szCs w:val="16"/>
              </w:rPr>
            </w:pPr>
            <w:r w:rsidRPr="007338F5">
              <w:rPr>
                <w:rFonts w:asciiTheme="minorHAnsi" w:hAnsiTheme="minorHAnsi" w:cstheme="minorHAnsi"/>
                <w:sz w:val="16"/>
                <w:szCs w:val="16"/>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w:t>
            </w:r>
            <w:r w:rsidRPr="007338F5">
              <w:rPr>
                <w:rFonts w:asciiTheme="minorHAnsi" w:hAnsiTheme="minorHAnsi" w:cstheme="minorHAnsi"/>
                <w:sz w:val="16"/>
                <w:szCs w:val="16"/>
              </w:rPr>
              <w:lastRenderedPageBreak/>
              <w:t>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Además, la tendencia es a que la mayoría de los registros se coloquen en la página web, por tanto, no se necesitarían claves de acceso.</w:t>
            </w:r>
          </w:p>
        </w:tc>
        <w:tc>
          <w:tcPr>
            <w:tcW w:w="678" w:type="pct"/>
            <w:vAlign w:val="center"/>
          </w:tcPr>
          <w:p w14:paraId="324D8A1D" w14:textId="77777777" w:rsidR="00D43C55" w:rsidRPr="00282283" w:rsidRDefault="00D43C55" w:rsidP="00106623">
            <w:pPr>
              <w:jc w:val="both"/>
              <w:rPr>
                <w:rFonts w:asciiTheme="minorHAnsi" w:hAnsiTheme="minorHAnsi" w:cstheme="minorHAnsi"/>
                <w:sz w:val="18"/>
                <w:szCs w:val="18"/>
              </w:rPr>
            </w:pPr>
            <w:r>
              <w:rPr>
                <w:rFonts w:asciiTheme="minorHAnsi" w:hAnsiTheme="minorHAnsi" w:cstheme="minorHAnsi"/>
                <w:sz w:val="18"/>
                <w:szCs w:val="18"/>
              </w:rPr>
              <w:lastRenderedPageBreak/>
              <w:t>Servicio de Gestión de Calidad y Títulos de la UCA</w:t>
            </w:r>
          </w:p>
        </w:tc>
        <w:tc>
          <w:tcPr>
            <w:tcW w:w="677" w:type="pct"/>
            <w:vAlign w:val="center"/>
          </w:tcPr>
          <w:p w14:paraId="63B84456" w14:textId="435A6379" w:rsidR="00D43C55" w:rsidRPr="00282283" w:rsidRDefault="00D43C55" w:rsidP="007338F5">
            <w:pPr>
              <w:jc w:val="center"/>
              <w:rPr>
                <w:rFonts w:asciiTheme="minorHAnsi" w:hAnsiTheme="minorHAnsi" w:cstheme="minorHAnsi"/>
                <w:sz w:val="18"/>
                <w:szCs w:val="18"/>
              </w:rPr>
            </w:pPr>
            <w:r>
              <w:rPr>
                <w:rFonts w:asciiTheme="minorHAnsi" w:hAnsiTheme="minorHAnsi" w:cstheme="minorHAnsi"/>
                <w:sz w:val="18"/>
                <w:szCs w:val="18"/>
              </w:rPr>
              <w:t>20</w:t>
            </w:r>
            <w:r w:rsidR="007338F5">
              <w:rPr>
                <w:rFonts w:asciiTheme="minorHAnsi" w:hAnsiTheme="minorHAnsi" w:cstheme="minorHAnsi"/>
                <w:sz w:val="18"/>
                <w:szCs w:val="18"/>
              </w:rPr>
              <w:t>21</w:t>
            </w:r>
            <w:r>
              <w:rPr>
                <w:rFonts w:asciiTheme="minorHAnsi" w:hAnsiTheme="minorHAnsi" w:cstheme="minorHAnsi"/>
                <w:sz w:val="18"/>
                <w:szCs w:val="18"/>
              </w:rPr>
              <w:t>-10-01</w:t>
            </w:r>
          </w:p>
        </w:tc>
        <w:tc>
          <w:tcPr>
            <w:tcW w:w="528" w:type="pct"/>
            <w:vAlign w:val="center"/>
          </w:tcPr>
          <w:p w14:paraId="2F229439" w14:textId="5C5D92B2" w:rsidR="00D43C55" w:rsidRPr="00282283" w:rsidRDefault="00D43C55" w:rsidP="007338F5">
            <w:pPr>
              <w:jc w:val="center"/>
              <w:rPr>
                <w:rFonts w:asciiTheme="minorHAnsi" w:hAnsiTheme="minorHAnsi" w:cstheme="minorHAnsi"/>
                <w:sz w:val="18"/>
                <w:szCs w:val="18"/>
              </w:rPr>
            </w:pPr>
            <w:r>
              <w:rPr>
                <w:rFonts w:asciiTheme="minorHAnsi" w:hAnsiTheme="minorHAnsi" w:cstheme="minorHAnsi"/>
                <w:sz w:val="18"/>
                <w:szCs w:val="18"/>
              </w:rPr>
              <w:t>202</w:t>
            </w:r>
            <w:r w:rsidR="007338F5">
              <w:rPr>
                <w:rFonts w:asciiTheme="minorHAnsi" w:hAnsiTheme="minorHAnsi" w:cstheme="minorHAnsi"/>
                <w:sz w:val="18"/>
                <w:szCs w:val="18"/>
              </w:rPr>
              <w:t>2</w:t>
            </w:r>
            <w:r>
              <w:rPr>
                <w:rFonts w:asciiTheme="minorHAnsi" w:hAnsiTheme="minorHAnsi" w:cstheme="minorHAnsi"/>
                <w:sz w:val="18"/>
                <w:szCs w:val="18"/>
              </w:rPr>
              <w:t>-09-30</w:t>
            </w:r>
          </w:p>
        </w:tc>
        <w:tc>
          <w:tcPr>
            <w:tcW w:w="859" w:type="pct"/>
            <w:vAlign w:val="center"/>
          </w:tcPr>
          <w:p w14:paraId="5C9D27A5" w14:textId="5DC2BEE3" w:rsidR="00D43C55" w:rsidRPr="00282283" w:rsidRDefault="00D43C55" w:rsidP="007338F5">
            <w:pPr>
              <w:ind w:left="5" w:hanging="5"/>
              <w:jc w:val="both"/>
              <w:rPr>
                <w:rFonts w:asciiTheme="minorHAnsi" w:hAnsiTheme="minorHAnsi" w:cstheme="minorHAnsi"/>
                <w:sz w:val="18"/>
                <w:szCs w:val="18"/>
              </w:rPr>
            </w:pPr>
            <w:r>
              <w:rPr>
                <w:rFonts w:asciiTheme="minorHAnsi" w:hAnsiTheme="minorHAnsi" w:cstheme="minorHAnsi"/>
                <w:sz w:val="18"/>
                <w:szCs w:val="18"/>
              </w:rPr>
              <w:t>ISGC-P07-01</w:t>
            </w:r>
            <w:r w:rsidR="007338F5">
              <w:rPr>
                <w:rFonts w:asciiTheme="minorHAnsi" w:hAnsiTheme="minorHAnsi" w:cstheme="minorHAnsi"/>
                <w:sz w:val="18"/>
                <w:szCs w:val="18"/>
              </w:rPr>
              <w:t xml:space="preserve"> </w:t>
            </w:r>
            <w:r w:rsidR="007338F5" w:rsidRPr="007338F5">
              <w:rPr>
                <w:rFonts w:asciiTheme="minorHAnsi" w:hAnsiTheme="minorHAnsi" w:cstheme="minorHAnsi"/>
                <w:sz w:val="18"/>
                <w:szCs w:val="18"/>
              </w:rPr>
              <w:t>(</w:t>
            </w:r>
            <w:r w:rsidR="007338F5" w:rsidRPr="007338F5">
              <w:rPr>
                <w:rFonts w:asciiTheme="minorHAnsi" w:eastAsia="Times New Roman" w:hAnsiTheme="minorHAnsi"/>
                <w:color w:val="000000"/>
                <w:sz w:val="18"/>
                <w:szCs w:val="18"/>
                <w:lang w:eastAsia="es-ES"/>
              </w:rPr>
              <w:t>Tasa de respuesta de la encuesta para el análisis de la satisfacción. Alumnado)</w:t>
            </w:r>
            <w:r w:rsidR="007338F5">
              <w:rPr>
                <w:rFonts w:asciiTheme="minorHAnsi" w:eastAsia="Times New Roman" w:hAnsiTheme="minorHAnsi"/>
                <w:color w:val="000000"/>
                <w:sz w:val="16"/>
                <w:szCs w:val="16"/>
                <w:lang w:eastAsia="es-ES"/>
              </w:rPr>
              <w:t xml:space="preserve"> </w:t>
            </w:r>
            <w:r w:rsidR="00394009">
              <w:rPr>
                <w:rFonts w:asciiTheme="minorHAnsi" w:eastAsia="Times New Roman" w:hAnsiTheme="minorHAnsi"/>
                <w:color w:val="000000"/>
                <w:sz w:val="16"/>
                <w:szCs w:val="16"/>
                <w:lang w:eastAsia="es-ES"/>
              </w:rPr>
              <w:t>54,29 % (2016-17), 20% (2017-18), 24,49% (2018-19), 13,33% (2019-20), 47,62% (2020-21)</w:t>
            </w:r>
          </w:p>
        </w:tc>
      </w:tr>
      <w:tr w:rsidR="00D43C55" w:rsidRPr="00282283" w14:paraId="2F689EE6" w14:textId="77777777" w:rsidTr="00D135EE">
        <w:trPr>
          <w:trHeight w:val="340"/>
          <w:jc w:val="center"/>
        </w:trPr>
        <w:tc>
          <w:tcPr>
            <w:tcW w:w="1265" w:type="pct"/>
            <w:vAlign w:val="center"/>
          </w:tcPr>
          <w:p w14:paraId="654FC81B" w14:textId="77777777" w:rsidR="00D43C55" w:rsidRPr="00282283" w:rsidRDefault="00D43C55" w:rsidP="00106623">
            <w:pPr>
              <w:jc w:val="both"/>
              <w:rPr>
                <w:rFonts w:asciiTheme="minorHAnsi" w:hAnsiTheme="minorHAnsi" w:cstheme="minorHAnsi"/>
                <w:b/>
                <w:sz w:val="18"/>
                <w:szCs w:val="18"/>
              </w:rPr>
            </w:pPr>
            <w:r w:rsidRPr="00534C3D">
              <w:rPr>
                <w:rFonts w:asciiTheme="minorHAnsi" w:hAnsiTheme="minorHAnsi"/>
                <w:sz w:val="16"/>
                <w:szCs w:val="16"/>
              </w:rPr>
              <w:t>Se recomienda poner en marcha acciones que mejoren la obtención de los resultados de satisfacción de los diferentes grupos de interés acerca del Máster, específicamente, egresados y empleadores, y sobre inserción laboral de los egresados</w:t>
            </w:r>
          </w:p>
        </w:tc>
        <w:tc>
          <w:tcPr>
            <w:tcW w:w="993" w:type="pct"/>
            <w:vAlign w:val="center"/>
          </w:tcPr>
          <w:p w14:paraId="40BCA3E7" w14:textId="1D389244" w:rsidR="00D43C55" w:rsidRPr="00A24F97" w:rsidRDefault="00A24F97" w:rsidP="00106623">
            <w:pPr>
              <w:jc w:val="both"/>
              <w:rPr>
                <w:rFonts w:asciiTheme="minorHAnsi" w:hAnsiTheme="minorHAnsi" w:cstheme="minorHAnsi"/>
                <w:sz w:val="16"/>
                <w:szCs w:val="16"/>
              </w:rPr>
            </w:pPr>
            <w:r w:rsidRPr="00A24F97">
              <w:rPr>
                <w:rFonts w:asciiTheme="minorHAnsi" w:hAnsiTheme="minorHAnsi" w:cstheme="minorHAnsi"/>
                <w:sz w:val="16"/>
                <w:szCs w:val="16"/>
              </w:rPr>
              <w:t>Con la modificación del Sistema de Garantía de Calidad a la versión 3.0 se dispone de información de los egresados y empleadores. Además, desde la coordinación del máster se informa por correo electrónico a los grupos de interés de las fechas para realizar las encuestas de satisfacción con el título</w:t>
            </w:r>
            <w:r>
              <w:rPr>
                <w:rFonts w:asciiTheme="minorHAnsi" w:hAnsiTheme="minorHAnsi" w:cstheme="minorHAnsi"/>
                <w:sz w:val="16"/>
                <w:szCs w:val="16"/>
              </w:rPr>
              <w:t>.</w:t>
            </w:r>
          </w:p>
        </w:tc>
        <w:tc>
          <w:tcPr>
            <w:tcW w:w="678" w:type="pct"/>
            <w:vAlign w:val="center"/>
          </w:tcPr>
          <w:p w14:paraId="1FE8A492" w14:textId="2A17EBFC" w:rsidR="00D43C55" w:rsidRPr="00282283" w:rsidRDefault="00A24F97" w:rsidP="00106623">
            <w:pPr>
              <w:jc w:val="both"/>
              <w:rPr>
                <w:rFonts w:asciiTheme="minorHAnsi" w:hAnsiTheme="minorHAnsi" w:cstheme="minorHAnsi"/>
                <w:sz w:val="18"/>
                <w:szCs w:val="18"/>
              </w:rPr>
            </w:pPr>
            <w:r w:rsidRPr="00A24F97">
              <w:rPr>
                <w:rFonts w:asciiTheme="minorHAnsi" w:hAnsiTheme="minorHAnsi"/>
                <w:sz w:val="16"/>
                <w:szCs w:val="16"/>
              </w:rPr>
              <w:t>Coordinadores del máster en ambas Universidades participantes</w:t>
            </w:r>
          </w:p>
        </w:tc>
        <w:tc>
          <w:tcPr>
            <w:tcW w:w="677" w:type="pct"/>
            <w:vAlign w:val="center"/>
          </w:tcPr>
          <w:p w14:paraId="3AFE2BBD" w14:textId="77777777" w:rsidR="00D43C55" w:rsidRPr="00282283" w:rsidRDefault="00D43C55" w:rsidP="00106623">
            <w:pPr>
              <w:jc w:val="center"/>
              <w:rPr>
                <w:rFonts w:asciiTheme="minorHAnsi" w:hAnsiTheme="minorHAnsi" w:cstheme="minorHAnsi"/>
                <w:sz w:val="18"/>
                <w:szCs w:val="18"/>
              </w:rPr>
            </w:pPr>
            <w:r>
              <w:rPr>
                <w:rFonts w:asciiTheme="minorHAnsi" w:hAnsiTheme="minorHAnsi" w:cstheme="minorHAnsi"/>
                <w:sz w:val="18"/>
                <w:szCs w:val="18"/>
              </w:rPr>
              <w:t>2019-10-01</w:t>
            </w:r>
          </w:p>
        </w:tc>
        <w:tc>
          <w:tcPr>
            <w:tcW w:w="528" w:type="pct"/>
            <w:vAlign w:val="center"/>
          </w:tcPr>
          <w:p w14:paraId="43E0BC10" w14:textId="4DB52CCE" w:rsidR="00D43C55" w:rsidRPr="00282283" w:rsidRDefault="00D43C55" w:rsidP="0044218E">
            <w:pPr>
              <w:jc w:val="center"/>
              <w:rPr>
                <w:rFonts w:asciiTheme="minorHAnsi" w:hAnsiTheme="minorHAnsi" w:cstheme="minorHAnsi"/>
                <w:sz w:val="18"/>
                <w:szCs w:val="18"/>
              </w:rPr>
            </w:pPr>
            <w:r>
              <w:rPr>
                <w:rFonts w:asciiTheme="minorHAnsi" w:hAnsiTheme="minorHAnsi" w:cstheme="minorHAnsi"/>
                <w:sz w:val="18"/>
                <w:szCs w:val="18"/>
              </w:rPr>
              <w:t>202</w:t>
            </w:r>
            <w:r w:rsidR="0044218E">
              <w:rPr>
                <w:rFonts w:asciiTheme="minorHAnsi" w:hAnsiTheme="minorHAnsi" w:cstheme="minorHAnsi"/>
                <w:sz w:val="18"/>
                <w:szCs w:val="18"/>
              </w:rPr>
              <w:t>2</w:t>
            </w:r>
            <w:r>
              <w:rPr>
                <w:rFonts w:asciiTheme="minorHAnsi" w:hAnsiTheme="minorHAnsi" w:cstheme="minorHAnsi"/>
                <w:sz w:val="18"/>
                <w:szCs w:val="18"/>
              </w:rPr>
              <w:t>-09-30</w:t>
            </w:r>
          </w:p>
        </w:tc>
        <w:tc>
          <w:tcPr>
            <w:tcW w:w="859" w:type="pct"/>
            <w:vAlign w:val="center"/>
          </w:tcPr>
          <w:p w14:paraId="1F9B99D1" w14:textId="0D6CAD02" w:rsidR="00D43C55" w:rsidRPr="00282283" w:rsidRDefault="00D43C55" w:rsidP="00106623">
            <w:pPr>
              <w:jc w:val="both"/>
              <w:rPr>
                <w:rFonts w:asciiTheme="minorHAnsi" w:hAnsiTheme="minorHAnsi" w:cstheme="minorHAnsi"/>
                <w:sz w:val="18"/>
                <w:szCs w:val="18"/>
              </w:rPr>
            </w:pPr>
            <w:r>
              <w:rPr>
                <w:rFonts w:asciiTheme="minorHAnsi" w:hAnsiTheme="minorHAnsi" w:cstheme="minorHAnsi"/>
                <w:sz w:val="18"/>
                <w:szCs w:val="18"/>
              </w:rPr>
              <w:t>ISGC-P07-05</w:t>
            </w:r>
            <w:r w:rsidR="00394009">
              <w:rPr>
                <w:rFonts w:asciiTheme="minorHAnsi" w:hAnsiTheme="minorHAnsi" w:cstheme="minorHAnsi"/>
                <w:sz w:val="18"/>
                <w:szCs w:val="18"/>
              </w:rPr>
              <w:t xml:space="preserve"> (índice de inserción profesional en cualquier sector profesional) 100 (2018-19), 75 (2019-20), 50 (2020-21)</w:t>
            </w:r>
          </w:p>
        </w:tc>
      </w:tr>
      <w:tr w:rsidR="00D43C55" w:rsidRPr="00282283" w14:paraId="5DAFA312" w14:textId="77777777" w:rsidTr="00D135EE">
        <w:trPr>
          <w:trHeight w:val="340"/>
          <w:jc w:val="center"/>
        </w:trPr>
        <w:tc>
          <w:tcPr>
            <w:tcW w:w="1265" w:type="pct"/>
            <w:vAlign w:val="center"/>
          </w:tcPr>
          <w:p w14:paraId="5BA4AB54" w14:textId="77777777" w:rsidR="00D43C55" w:rsidRPr="00282283" w:rsidRDefault="00D43C55" w:rsidP="00106623">
            <w:pPr>
              <w:jc w:val="both"/>
              <w:rPr>
                <w:rFonts w:asciiTheme="minorHAnsi" w:hAnsiTheme="minorHAnsi" w:cstheme="minorHAnsi"/>
                <w:b/>
                <w:sz w:val="18"/>
                <w:szCs w:val="18"/>
              </w:rPr>
            </w:pPr>
            <w:r w:rsidRPr="001C39B9">
              <w:rPr>
                <w:rFonts w:asciiTheme="minorHAnsi" w:hAnsiTheme="minorHAnsi"/>
                <w:sz w:val="16"/>
                <w:szCs w:val="16"/>
              </w:rPr>
              <w:t>Se recomienda reforzar la integración de las dos sedes del Máster de forma que se intensifique la interacción entre el estudiantado de ambas universidades, para lo cual es preciso aumentar los recursos que se ponen a su disposición</w:t>
            </w:r>
          </w:p>
        </w:tc>
        <w:tc>
          <w:tcPr>
            <w:tcW w:w="993" w:type="pct"/>
            <w:vAlign w:val="center"/>
          </w:tcPr>
          <w:p w14:paraId="574DA42F" w14:textId="18A69C80" w:rsidR="00D43C55" w:rsidRPr="001C39B9" w:rsidRDefault="00A24F97" w:rsidP="00106623">
            <w:pPr>
              <w:jc w:val="both"/>
              <w:rPr>
                <w:sz w:val="16"/>
                <w:szCs w:val="16"/>
              </w:rPr>
            </w:pPr>
            <w:r>
              <w:rPr>
                <w:sz w:val="16"/>
                <w:szCs w:val="16"/>
              </w:rPr>
              <w:t>Desde el curso 2019-20, s</w:t>
            </w:r>
            <w:r w:rsidR="00D43C55" w:rsidRPr="001C39B9">
              <w:rPr>
                <w:sz w:val="16"/>
                <w:szCs w:val="16"/>
              </w:rPr>
              <w:t>e realiza</w:t>
            </w:r>
            <w:r>
              <w:rPr>
                <w:sz w:val="16"/>
                <w:szCs w:val="16"/>
              </w:rPr>
              <w:t>n</w:t>
            </w:r>
            <w:r w:rsidR="00D43C55" w:rsidRPr="001C39B9">
              <w:rPr>
                <w:sz w:val="16"/>
                <w:szCs w:val="16"/>
              </w:rPr>
              <w:t xml:space="preserve"> unas Jornadas de presentación </w:t>
            </w:r>
            <w:r>
              <w:rPr>
                <w:sz w:val="16"/>
                <w:szCs w:val="16"/>
              </w:rPr>
              <w:t>del máster</w:t>
            </w:r>
            <w:r w:rsidR="0044218E">
              <w:rPr>
                <w:sz w:val="16"/>
                <w:szCs w:val="16"/>
              </w:rPr>
              <w:t xml:space="preserve"> presenciales</w:t>
            </w:r>
            <w:r w:rsidR="00D43C55" w:rsidRPr="001C39B9">
              <w:rPr>
                <w:sz w:val="16"/>
                <w:szCs w:val="16"/>
              </w:rPr>
              <w:t xml:space="preserve"> para fomentar y propiciar la relación docente-social entre coordinadores y alumnos de ambas universidades. </w:t>
            </w:r>
          </w:p>
          <w:p w14:paraId="58A083C7" w14:textId="77777777" w:rsidR="00D43C55" w:rsidRPr="00282283" w:rsidRDefault="00D43C55" w:rsidP="00106623">
            <w:pPr>
              <w:jc w:val="both"/>
              <w:rPr>
                <w:rFonts w:asciiTheme="minorHAnsi" w:hAnsiTheme="minorHAnsi" w:cstheme="minorHAnsi"/>
                <w:sz w:val="18"/>
                <w:szCs w:val="18"/>
              </w:rPr>
            </w:pPr>
          </w:p>
        </w:tc>
        <w:tc>
          <w:tcPr>
            <w:tcW w:w="678" w:type="pct"/>
            <w:vAlign w:val="center"/>
          </w:tcPr>
          <w:p w14:paraId="20EC47EE" w14:textId="77777777" w:rsidR="00D43C55" w:rsidRPr="00282283" w:rsidRDefault="00D43C55" w:rsidP="00106623">
            <w:pPr>
              <w:jc w:val="both"/>
              <w:rPr>
                <w:rFonts w:asciiTheme="minorHAnsi" w:hAnsiTheme="minorHAnsi" w:cstheme="minorHAnsi"/>
                <w:sz w:val="18"/>
                <w:szCs w:val="18"/>
              </w:rPr>
            </w:pPr>
            <w:r w:rsidRPr="00433639">
              <w:rPr>
                <w:rFonts w:asciiTheme="minorHAnsi" w:hAnsiTheme="minorHAnsi"/>
                <w:sz w:val="16"/>
                <w:szCs w:val="16"/>
              </w:rPr>
              <w:t>Coordinadores del máster en ambas Universidades participantes</w:t>
            </w:r>
          </w:p>
        </w:tc>
        <w:tc>
          <w:tcPr>
            <w:tcW w:w="677" w:type="pct"/>
            <w:vAlign w:val="center"/>
          </w:tcPr>
          <w:p w14:paraId="239038C0" w14:textId="77777777" w:rsidR="00D43C55" w:rsidRPr="00282283" w:rsidRDefault="00D43C55" w:rsidP="00106623">
            <w:pPr>
              <w:jc w:val="center"/>
              <w:rPr>
                <w:rFonts w:asciiTheme="minorHAnsi" w:hAnsiTheme="minorHAnsi" w:cstheme="minorHAnsi"/>
                <w:sz w:val="18"/>
                <w:szCs w:val="18"/>
              </w:rPr>
            </w:pPr>
            <w:r>
              <w:rPr>
                <w:rFonts w:asciiTheme="minorHAnsi" w:hAnsiTheme="minorHAnsi" w:cstheme="minorHAnsi"/>
                <w:sz w:val="18"/>
                <w:szCs w:val="18"/>
              </w:rPr>
              <w:t>2019-10-01</w:t>
            </w:r>
          </w:p>
        </w:tc>
        <w:tc>
          <w:tcPr>
            <w:tcW w:w="528" w:type="pct"/>
            <w:vAlign w:val="center"/>
          </w:tcPr>
          <w:p w14:paraId="6EDDD592" w14:textId="3B320EC5" w:rsidR="00D43C55" w:rsidRPr="00282283" w:rsidRDefault="00A24F97" w:rsidP="00106623">
            <w:pPr>
              <w:jc w:val="center"/>
              <w:rPr>
                <w:rFonts w:asciiTheme="minorHAnsi" w:hAnsiTheme="minorHAnsi" w:cstheme="minorHAnsi"/>
                <w:sz w:val="18"/>
                <w:szCs w:val="18"/>
              </w:rPr>
            </w:pPr>
            <w:r w:rsidRPr="00A24F97">
              <w:rPr>
                <w:rFonts w:asciiTheme="minorHAnsi" w:hAnsiTheme="minorHAnsi" w:cstheme="minorHAnsi"/>
                <w:sz w:val="18"/>
                <w:szCs w:val="18"/>
              </w:rPr>
              <w:t>2022</w:t>
            </w:r>
            <w:r w:rsidR="00D43C55" w:rsidRPr="00A24F97">
              <w:rPr>
                <w:rFonts w:asciiTheme="minorHAnsi" w:hAnsiTheme="minorHAnsi" w:cstheme="minorHAnsi"/>
                <w:sz w:val="18"/>
                <w:szCs w:val="18"/>
              </w:rPr>
              <w:t>-09-30</w:t>
            </w:r>
          </w:p>
        </w:tc>
        <w:tc>
          <w:tcPr>
            <w:tcW w:w="859" w:type="pct"/>
            <w:vAlign w:val="center"/>
          </w:tcPr>
          <w:p w14:paraId="4F57283E" w14:textId="77777777" w:rsidR="00D43C55" w:rsidRPr="00282283" w:rsidRDefault="00D43C55" w:rsidP="00106623">
            <w:pPr>
              <w:jc w:val="both"/>
              <w:rPr>
                <w:rFonts w:asciiTheme="minorHAnsi" w:hAnsiTheme="minorHAnsi" w:cstheme="minorHAnsi"/>
                <w:sz w:val="18"/>
                <w:szCs w:val="18"/>
              </w:rPr>
            </w:pPr>
          </w:p>
        </w:tc>
      </w:tr>
    </w:tbl>
    <w:p w14:paraId="754A53FB" w14:textId="77777777" w:rsidR="00D02560" w:rsidRDefault="00D02560"/>
    <w:p w14:paraId="3F84AB36" w14:textId="77777777" w:rsidR="00AB4B41" w:rsidRDefault="00AB4B41"/>
    <w:p w14:paraId="5FA9072A" w14:textId="77777777" w:rsidR="00AB4B41" w:rsidRDefault="00AB4B41"/>
    <w:p w14:paraId="7284BA36" w14:textId="77777777" w:rsidR="00AB4B41" w:rsidRDefault="00AB4B41"/>
    <w:p w14:paraId="68E88F4B" w14:textId="77777777" w:rsidR="00AB4B41" w:rsidRDefault="00AB4B41"/>
    <w:p w14:paraId="3CCE1CD1" w14:textId="77777777" w:rsidR="00AB4B41" w:rsidRDefault="00AB4B41"/>
    <w:sectPr w:rsidR="00AB4B41" w:rsidSect="00D02560">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2B3B" w14:textId="77777777" w:rsidR="004C696C" w:rsidRDefault="004C696C" w:rsidP="00D56437">
      <w:pPr>
        <w:spacing w:after="0" w:line="240" w:lineRule="auto"/>
      </w:pPr>
      <w:r>
        <w:separator/>
      </w:r>
    </w:p>
  </w:endnote>
  <w:endnote w:type="continuationSeparator" w:id="0">
    <w:p w14:paraId="350454C2" w14:textId="77777777" w:rsidR="004C696C" w:rsidRDefault="004C696C"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883E" w14:textId="1841E7E3" w:rsidR="008D0210" w:rsidRPr="00D22243" w:rsidRDefault="008D0210"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A74E10">
      <w:rPr>
        <w:noProof/>
        <w:color w:val="4F81BD" w:themeColor="accent1"/>
        <w:sz w:val="18"/>
        <w:szCs w:val="18"/>
      </w:rPr>
      <w:t>20</w:t>
    </w:r>
    <w:r w:rsidRPr="00D22243">
      <w:rPr>
        <w:color w:val="4F81BD" w:themeColor="accent1"/>
        <w:sz w:val="18"/>
        <w:szCs w:val="18"/>
      </w:rPr>
      <w:fldChar w:fldCharType="end"/>
    </w:r>
    <w:r w:rsidRPr="00D22243">
      <w:rPr>
        <w:color w:val="4F81BD" w:themeColor="accent1"/>
        <w:sz w:val="18"/>
        <w:szCs w:val="18"/>
      </w:rPr>
      <w:t xml:space="preserve"> de </w:t>
    </w:r>
    <w:r w:rsidR="004C696C">
      <w:fldChar w:fldCharType="begin"/>
    </w:r>
    <w:r w:rsidR="004C696C">
      <w:instrText>NUMPAGES  \* Arabic  \* MERGEFORMAT</w:instrText>
    </w:r>
    <w:r w:rsidR="004C696C">
      <w:fldChar w:fldCharType="separate"/>
    </w:r>
    <w:r w:rsidR="00A74E10" w:rsidRPr="00A74E10">
      <w:rPr>
        <w:noProof/>
        <w:color w:val="4F81BD" w:themeColor="accent1"/>
        <w:sz w:val="18"/>
        <w:szCs w:val="18"/>
      </w:rPr>
      <w:t>25</w:t>
    </w:r>
    <w:r w:rsidR="004C696C">
      <w:rPr>
        <w:noProof/>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E88C" w14:textId="0F9D78D7" w:rsidR="008D0210" w:rsidRPr="00AC3B87" w:rsidRDefault="008D0210"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44218E">
      <w:rPr>
        <w:noProof/>
        <w:color w:val="4F81BD" w:themeColor="accent1"/>
      </w:rPr>
      <w:t>1</w:t>
    </w:r>
    <w:r>
      <w:rPr>
        <w:color w:val="4F81BD" w:themeColor="accent1"/>
      </w:rPr>
      <w:fldChar w:fldCharType="end"/>
    </w:r>
    <w:r>
      <w:rPr>
        <w:color w:val="4F81BD" w:themeColor="accent1"/>
      </w:rPr>
      <w:t xml:space="preserve"> de </w:t>
    </w:r>
    <w:r w:rsidR="004C696C">
      <w:fldChar w:fldCharType="begin"/>
    </w:r>
    <w:r w:rsidR="004C696C">
      <w:instrText>NUMPAGES  \* Arabic  \* MERGEFORMAT</w:instrText>
    </w:r>
    <w:r w:rsidR="004C696C">
      <w:fldChar w:fldCharType="separate"/>
    </w:r>
    <w:r w:rsidR="0044218E" w:rsidRPr="0044218E">
      <w:rPr>
        <w:noProof/>
        <w:color w:val="4F81BD" w:themeColor="accent1"/>
      </w:rPr>
      <w:t>25</w:t>
    </w:r>
    <w:r w:rsidR="004C696C">
      <w:rPr>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E818" w14:textId="77777777" w:rsidR="004C696C" w:rsidRDefault="004C696C" w:rsidP="00D56437">
      <w:pPr>
        <w:spacing w:after="0" w:line="240" w:lineRule="auto"/>
      </w:pPr>
      <w:r>
        <w:separator/>
      </w:r>
    </w:p>
  </w:footnote>
  <w:footnote w:type="continuationSeparator" w:id="0">
    <w:p w14:paraId="4E09988C" w14:textId="77777777" w:rsidR="004C696C" w:rsidRDefault="004C696C"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8D0210" w:rsidRPr="00830C89" w14:paraId="500CEB89" w14:textId="77777777" w:rsidTr="003F04EF">
      <w:trPr>
        <w:trHeight w:val="1191"/>
        <w:jc w:val="center"/>
      </w:trPr>
      <w:tc>
        <w:tcPr>
          <w:tcW w:w="2972" w:type="dxa"/>
          <w:vAlign w:val="center"/>
        </w:tcPr>
        <w:p w14:paraId="6623BF16" w14:textId="77777777" w:rsidR="008D0210" w:rsidRPr="00830C89" w:rsidRDefault="008D0210"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52D21982" wp14:editId="61298111">
                <wp:simplePos x="0" y="0"/>
                <wp:positionH relativeFrom="column">
                  <wp:posOffset>64135</wp:posOffset>
                </wp:positionH>
                <wp:positionV relativeFrom="paragraph">
                  <wp:posOffset>38100</wp:posOffset>
                </wp:positionV>
                <wp:extent cx="1708785" cy="717550"/>
                <wp:effectExtent l="1905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0466AD8D" w14:textId="77777777" w:rsidR="008D0210" w:rsidRPr="00830C89" w:rsidRDefault="008D0210"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721CA5AE" w14:textId="77777777" w:rsidR="008D0210" w:rsidRPr="00830C89" w:rsidRDefault="008D0210" w:rsidP="0070175D">
          <w:pPr>
            <w:pStyle w:val="Encabezado"/>
            <w:jc w:val="center"/>
            <w:rPr>
              <w:b/>
              <w:color w:val="00607C"/>
            </w:rPr>
          </w:pPr>
          <w:r w:rsidRPr="00830C89">
            <w:rPr>
              <w:b/>
              <w:color w:val="00607C"/>
            </w:rPr>
            <w:t xml:space="preserve">SGC DE LOS </w:t>
          </w:r>
          <w:r>
            <w:rPr>
              <w:b/>
              <w:color w:val="00607C"/>
            </w:rPr>
            <w:t>CENTROS</w:t>
          </w:r>
          <w:r w:rsidRPr="00830C89">
            <w:rPr>
              <w:b/>
              <w:color w:val="00607C"/>
            </w:rPr>
            <w:t xml:space="preserve"> DE LA UNIVERSIDAD DE CÁDIZ</w:t>
          </w:r>
        </w:p>
      </w:tc>
    </w:tr>
  </w:tbl>
  <w:p w14:paraId="1AB4D332" w14:textId="77777777" w:rsidR="008D0210" w:rsidRPr="00CF66D9" w:rsidRDefault="008D0210"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8D0210" w:rsidRPr="00830C89" w14:paraId="5363A335" w14:textId="77777777" w:rsidTr="002B5E96">
      <w:trPr>
        <w:trHeight w:val="1191"/>
        <w:jc w:val="center"/>
      </w:trPr>
      <w:tc>
        <w:tcPr>
          <w:tcW w:w="2972" w:type="dxa"/>
          <w:vAlign w:val="center"/>
        </w:tcPr>
        <w:p w14:paraId="14B4F592" w14:textId="77777777" w:rsidR="008D0210" w:rsidRPr="00830C89" w:rsidRDefault="008D0210"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10495826" wp14:editId="68C75DA7">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7D3DA638" w14:textId="77777777" w:rsidR="008D0210" w:rsidRPr="00830C89" w:rsidRDefault="008D0210" w:rsidP="00D0755B">
          <w:pPr>
            <w:pStyle w:val="Encabezado"/>
            <w:jc w:val="center"/>
            <w:rPr>
              <w:rFonts w:cs="Calibri"/>
              <w:i/>
              <w:color w:val="00607C"/>
            </w:rPr>
          </w:pPr>
        </w:p>
      </w:tc>
      <w:tc>
        <w:tcPr>
          <w:tcW w:w="3171" w:type="dxa"/>
          <w:vAlign w:val="center"/>
        </w:tcPr>
        <w:p w14:paraId="411EBDC9" w14:textId="77777777" w:rsidR="008D0210" w:rsidRPr="00830C89" w:rsidRDefault="008D0210" w:rsidP="00D0755B">
          <w:pPr>
            <w:pStyle w:val="Encabezado"/>
            <w:jc w:val="center"/>
            <w:rPr>
              <w:b/>
              <w:color w:val="00607C"/>
            </w:rPr>
          </w:pPr>
        </w:p>
      </w:tc>
    </w:tr>
  </w:tbl>
  <w:p w14:paraId="30790444" w14:textId="77777777" w:rsidR="008D0210" w:rsidRPr="00285052" w:rsidRDefault="008D0210"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D8B"/>
    <w:multiLevelType w:val="hybridMultilevel"/>
    <w:tmpl w:val="7AACB74E"/>
    <w:lvl w:ilvl="0" w:tplc="E4C623C4">
      <w:start w:val="202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649BB"/>
    <w:multiLevelType w:val="hybridMultilevel"/>
    <w:tmpl w:val="B620A1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BD0992"/>
    <w:multiLevelType w:val="hybridMultilevel"/>
    <w:tmpl w:val="B27817A0"/>
    <w:lvl w:ilvl="0" w:tplc="EB642054">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EB057B"/>
    <w:multiLevelType w:val="hybridMultilevel"/>
    <w:tmpl w:val="706A0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314119"/>
    <w:multiLevelType w:val="hybridMultilevel"/>
    <w:tmpl w:val="3D7AC826"/>
    <w:lvl w:ilvl="0" w:tplc="7C401B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83791B"/>
    <w:multiLevelType w:val="hybridMultilevel"/>
    <w:tmpl w:val="3392D04A"/>
    <w:lvl w:ilvl="0" w:tplc="B92E8D2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531244"/>
    <w:multiLevelType w:val="hybridMultilevel"/>
    <w:tmpl w:val="F61A09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9"/>
  </w:num>
  <w:num w:numId="8">
    <w:abstractNumId w:val="3"/>
  </w:num>
  <w:num w:numId="9">
    <w:abstractNumId w:val="0"/>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7"/>
    <w:rsid w:val="000034C6"/>
    <w:rsid w:val="00004ED6"/>
    <w:rsid w:val="00013610"/>
    <w:rsid w:val="00017465"/>
    <w:rsid w:val="000174F5"/>
    <w:rsid w:val="00017770"/>
    <w:rsid w:val="00021A74"/>
    <w:rsid w:val="00037AA5"/>
    <w:rsid w:val="00037BD7"/>
    <w:rsid w:val="0004255A"/>
    <w:rsid w:val="00043D54"/>
    <w:rsid w:val="00050686"/>
    <w:rsid w:val="00061C09"/>
    <w:rsid w:val="00065CD7"/>
    <w:rsid w:val="000676DE"/>
    <w:rsid w:val="0007032B"/>
    <w:rsid w:val="00072335"/>
    <w:rsid w:val="00082881"/>
    <w:rsid w:val="000831DA"/>
    <w:rsid w:val="0008370A"/>
    <w:rsid w:val="00091677"/>
    <w:rsid w:val="00094BB8"/>
    <w:rsid w:val="000A21C0"/>
    <w:rsid w:val="000A35B3"/>
    <w:rsid w:val="000A3D7E"/>
    <w:rsid w:val="000A4943"/>
    <w:rsid w:val="000B0A6B"/>
    <w:rsid w:val="000B1767"/>
    <w:rsid w:val="000B2860"/>
    <w:rsid w:val="000B2C7B"/>
    <w:rsid w:val="000B7A25"/>
    <w:rsid w:val="000C0B10"/>
    <w:rsid w:val="000C2CD9"/>
    <w:rsid w:val="000C41E0"/>
    <w:rsid w:val="000C4306"/>
    <w:rsid w:val="000C5703"/>
    <w:rsid w:val="000C7B7B"/>
    <w:rsid w:val="000D3277"/>
    <w:rsid w:val="000E1320"/>
    <w:rsid w:val="000E17DE"/>
    <w:rsid w:val="000E2668"/>
    <w:rsid w:val="000E4062"/>
    <w:rsid w:val="000E554A"/>
    <w:rsid w:val="000E6252"/>
    <w:rsid w:val="000E6A52"/>
    <w:rsid w:val="000F1C33"/>
    <w:rsid w:val="000F62B4"/>
    <w:rsid w:val="000F70E8"/>
    <w:rsid w:val="00103412"/>
    <w:rsid w:val="001045A1"/>
    <w:rsid w:val="00106623"/>
    <w:rsid w:val="00107603"/>
    <w:rsid w:val="00107AB7"/>
    <w:rsid w:val="00112CFE"/>
    <w:rsid w:val="001136B2"/>
    <w:rsid w:val="001136EB"/>
    <w:rsid w:val="00123C41"/>
    <w:rsid w:val="001275D9"/>
    <w:rsid w:val="001324B2"/>
    <w:rsid w:val="00140B48"/>
    <w:rsid w:val="00143A24"/>
    <w:rsid w:val="00144753"/>
    <w:rsid w:val="00151131"/>
    <w:rsid w:val="00152911"/>
    <w:rsid w:val="00153B65"/>
    <w:rsid w:val="00154951"/>
    <w:rsid w:val="00155874"/>
    <w:rsid w:val="00155FEC"/>
    <w:rsid w:val="00156012"/>
    <w:rsid w:val="00157F85"/>
    <w:rsid w:val="00162649"/>
    <w:rsid w:val="00162E18"/>
    <w:rsid w:val="0017092B"/>
    <w:rsid w:val="0017137B"/>
    <w:rsid w:val="001751D9"/>
    <w:rsid w:val="00177C48"/>
    <w:rsid w:val="001829A3"/>
    <w:rsid w:val="0018480F"/>
    <w:rsid w:val="001852CE"/>
    <w:rsid w:val="00187485"/>
    <w:rsid w:val="00193B14"/>
    <w:rsid w:val="00194588"/>
    <w:rsid w:val="00195FB7"/>
    <w:rsid w:val="001968AC"/>
    <w:rsid w:val="001A3730"/>
    <w:rsid w:val="001B487D"/>
    <w:rsid w:val="001B5EC1"/>
    <w:rsid w:val="001C18BC"/>
    <w:rsid w:val="001C2DA3"/>
    <w:rsid w:val="001C5C8E"/>
    <w:rsid w:val="001C6471"/>
    <w:rsid w:val="001C6C8F"/>
    <w:rsid w:val="001D093C"/>
    <w:rsid w:val="001D1BEF"/>
    <w:rsid w:val="001D2DB9"/>
    <w:rsid w:val="001D5C72"/>
    <w:rsid w:val="001E1B21"/>
    <w:rsid w:val="001E1B42"/>
    <w:rsid w:val="001E1C8A"/>
    <w:rsid w:val="001E52A3"/>
    <w:rsid w:val="001E7105"/>
    <w:rsid w:val="001E72EF"/>
    <w:rsid w:val="001F4790"/>
    <w:rsid w:val="00205D10"/>
    <w:rsid w:val="00205EE4"/>
    <w:rsid w:val="00214064"/>
    <w:rsid w:val="00215F0D"/>
    <w:rsid w:val="00220A4F"/>
    <w:rsid w:val="002218BF"/>
    <w:rsid w:val="00223910"/>
    <w:rsid w:val="002247AA"/>
    <w:rsid w:val="00231301"/>
    <w:rsid w:val="00233062"/>
    <w:rsid w:val="00233495"/>
    <w:rsid w:val="00237998"/>
    <w:rsid w:val="00241DA0"/>
    <w:rsid w:val="002443BA"/>
    <w:rsid w:val="0024590F"/>
    <w:rsid w:val="00245E72"/>
    <w:rsid w:val="00246224"/>
    <w:rsid w:val="00246FCE"/>
    <w:rsid w:val="00247711"/>
    <w:rsid w:val="00247EB5"/>
    <w:rsid w:val="00250132"/>
    <w:rsid w:val="0025156F"/>
    <w:rsid w:val="00251E91"/>
    <w:rsid w:val="002532D1"/>
    <w:rsid w:val="00262784"/>
    <w:rsid w:val="00262D25"/>
    <w:rsid w:val="00270380"/>
    <w:rsid w:val="00271BD9"/>
    <w:rsid w:val="002721C4"/>
    <w:rsid w:val="00273812"/>
    <w:rsid w:val="002763A8"/>
    <w:rsid w:val="00277537"/>
    <w:rsid w:val="002777C9"/>
    <w:rsid w:val="00282657"/>
    <w:rsid w:val="00283685"/>
    <w:rsid w:val="002854BD"/>
    <w:rsid w:val="0029258A"/>
    <w:rsid w:val="002926F1"/>
    <w:rsid w:val="00293385"/>
    <w:rsid w:val="00293DB8"/>
    <w:rsid w:val="00295EEF"/>
    <w:rsid w:val="002974A5"/>
    <w:rsid w:val="002975B2"/>
    <w:rsid w:val="002A184D"/>
    <w:rsid w:val="002A2B9E"/>
    <w:rsid w:val="002A2F67"/>
    <w:rsid w:val="002B1133"/>
    <w:rsid w:val="002B5E96"/>
    <w:rsid w:val="002C063F"/>
    <w:rsid w:val="002C4DEF"/>
    <w:rsid w:val="002C7310"/>
    <w:rsid w:val="002D18B8"/>
    <w:rsid w:val="002D2D28"/>
    <w:rsid w:val="002D4F79"/>
    <w:rsid w:val="002D63D7"/>
    <w:rsid w:val="002E1C48"/>
    <w:rsid w:val="002E2894"/>
    <w:rsid w:val="002E4136"/>
    <w:rsid w:val="002E6A0C"/>
    <w:rsid w:val="002F04CA"/>
    <w:rsid w:val="002F2698"/>
    <w:rsid w:val="002F2885"/>
    <w:rsid w:val="002F2997"/>
    <w:rsid w:val="002F2C89"/>
    <w:rsid w:val="002F460E"/>
    <w:rsid w:val="002F52C2"/>
    <w:rsid w:val="002F5961"/>
    <w:rsid w:val="003005DD"/>
    <w:rsid w:val="0030484A"/>
    <w:rsid w:val="003105FF"/>
    <w:rsid w:val="00310BA4"/>
    <w:rsid w:val="0031104C"/>
    <w:rsid w:val="00311267"/>
    <w:rsid w:val="00311571"/>
    <w:rsid w:val="0031264D"/>
    <w:rsid w:val="00313FB9"/>
    <w:rsid w:val="00317AA0"/>
    <w:rsid w:val="00320536"/>
    <w:rsid w:val="00324A5E"/>
    <w:rsid w:val="00324B26"/>
    <w:rsid w:val="00324F1A"/>
    <w:rsid w:val="00326101"/>
    <w:rsid w:val="003322EF"/>
    <w:rsid w:val="00335877"/>
    <w:rsid w:val="003364B7"/>
    <w:rsid w:val="003370C1"/>
    <w:rsid w:val="00340176"/>
    <w:rsid w:val="00342090"/>
    <w:rsid w:val="00350505"/>
    <w:rsid w:val="003551F8"/>
    <w:rsid w:val="0035527A"/>
    <w:rsid w:val="00355C37"/>
    <w:rsid w:val="00356A57"/>
    <w:rsid w:val="003574D5"/>
    <w:rsid w:val="003602D4"/>
    <w:rsid w:val="003606D4"/>
    <w:rsid w:val="003644DF"/>
    <w:rsid w:val="00365B36"/>
    <w:rsid w:val="00367AD2"/>
    <w:rsid w:val="0037241A"/>
    <w:rsid w:val="003739F4"/>
    <w:rsid w:val="00374E69"/>
    <w:rsid w:val="00377DC2"/>
    <w:rsid w:val="003805C1"/>
    <w:rsid w:val="00382C45"/>
    <w:rsid w:val="0038389C"/>
    <w:rsid w:val="00383D1C"/>
    <w:rsid w:val="00384CB0"/>
    <w:rsid w:val="00387FD3"/>
    <w:rsid w:val="00394009"/>
    <w:rsid w:val="00394AF4"/>
    <w:rsid w:val="00396CAC"/>
    <w:rsid w:val="003A185B"/>
    <w:rsid w:val="003A2FBF"/>
    <w:rsid w:val="003A6AED"/>
    <w:rsid w:val="003B1158"/>
    <w:rsid w:val="003B249F"/>
    <w:rsid w:val="003B32C9"/>
    <w:rsid w:val="003C07E0"/>
    <w:rsid w:val="003C6541"/>
    <w:rsid w:val="003D4418"/>
    <w:rsid w:val="003D4793"/>
    <w:rsid w:val="003D5C9E"/>
    <w:rsid w:val="003D5CFE"/>
    <w:rsid w:val="003E0615"/>
    <w:rsid w:val="003E245C"/>
    <w:rsid w:val="003E2869"/>
    <w:rsid w:val="003E45B0"/>
    <w:rsid w:val="003E5AD1"/>
    <w:rsid w:val="003F04EF"/>
    <w:rsid w:val="003F207F"/>
    <w:rsid w:val="003F2D44"/>
    <w:rsid w:val="003F3B90"/>
    <w:rsid w:val="003F4BE6"/>
    <w:rsid w:val="003F5D65"/>
    <w:rsid w:val="003F70DA"/>
    <w:rsid w:val="004045D8"/>
    <w:rsid w:val="00406408"/>
    <w:rsid w:val="00410CE9"/>
    <w:rsid w:val="00416035"/>
    <w:rsid w:val="00431CF2"/>
    <w:rsid w:val="00432663"/>
    <w:rsid w:val="004363A1"/>
    <w:rsid w:val="0044218E"/>
    <w:rsid w:val="00447982"/>
    <w:rsid w:val="00452E4D"/>
    <w:rsid w:val="00453A23"/>
    <w:rsid w:val="00454DF2"/>
    <w:rsid w:val="00456142"/>
    <w:rsid w:val="00460317"/>
    <w:rsid w:val="00460E06"/>
    <w:rsid w:val="00461D3D"/>
    <w:rsid w:val="004634A2"/>
    <w:rsid w:val="00467D0E"/>
    <w:rsid w:val="0047089F"/>
    <w:rsid w:val="00471005"/>
    <w:rsid w:val="00473FBD"/>
    <w:rsid w:val="004753EB"/>
    <w:rsid w:val="00475AFF"/>
    <w:rsid w:val="00477721"/>
    <w:rsid w:val="00477EF6"/>
    <w:rsid w:val="00480298"/>
    <w:rsid w:val="0048216F"/>
    <w:rsid w:val="00482EBE"/>
    <w:rsid w:val="0048329B"/>
    <w:rsid w:val="0048554D"/>
    <w:rsid w:val="00486257"/>
    <w:rsid w:val="00486E2E"/>
    <w:rsid w:val="00491DA2"/>
    <w:rsid w:val="00495549"/>
    <w:rsid w:val="004A0CB0"/>
    <w:rsid w:val="004A6184"/>
    <w:rsid w:val="004B19C5"/>
    <w:rsid w:val="004B4751"/>
    <w:rsid w:val="004B531D"/>
    <w:rsid w:val="004B54EC"/>
    <w:rsid w:val="004B67FA"/>
    <w:rsid w:val="004B70A5"/>
    <w:rsid w:val="004C09FB"/>
    <w:rsid w:val="004C39BE"/>
    <w:rsid w:val="004C6765"/>
    <w:rsid w:val="004C696C"/>
    <w:rsid w:val="004D05DE"/>
    <w:rsid w:val="004D06BC"/>
    <w:rsid w:val="004D15F8"/>
    <w:rsid w:val="004D3F84"/>
    <w:rsid w:val="004D5AD1"/>
    <w:rsid w:val="004D73D1"/>
    <w:rsid w:val="004D768B"/>
    <w:rsid w:val="004E070A"/>
    <w:rsid w:val="004E117A"/>
    <w:rsid w:val="004E3CB1"/>
    <w:rsid w:val="004E6980"/>
    <w:rsid w:val="004E6EEC"/>
    <w:rsid w:val="004F0DE8"/>
    <w:rsid w:val="004F2CEB"/>
    <w:rsid w:val="004F7AB2"/>
    <w:rsid w:val="00501893"/>
    <w:rsid w:val="00511086"/>
    <w:rsid w:val="00520B2D"/>
    <w:rsid w:val="0052145D"/>
    <w:rsid w:val="0052301F"/>
    <w:rsid w:val="00526088"/>
    <w:rsid w:val="0053029B"/>
    <w:rsid w:val="0053409A"/>
    <w:rsid w:val="00535303"/>
    <w:rsid w:val="0053660D"/>
    <w:rsid w:val="00536AEA"/>
    <w:rsid w:val="00537A25"/>
    <w:rsid w:val="005403F3"/>
    <w:rsid w:val="00540DD7"/>
    <w:rsid w:val="00541F92"/>
    <w:rsid w:val="0054355B"/>
    <w:rsid w:val="00546959"/>
    <w:rsid w:val="00547AD0"/>
    <w:rsid w:val="00550DE9"/>
    <w:rsid w:val="00551DE6"/>
    <w:rsid w:val="00553679"/>
    <w:rsid w:val="005548AF"/>
    <w:rsid w:val="00554F1A"/>
    <w:rsid w:val="00574E49"/>
    <w:rsid w:val="00574EC1"/>
    <w:rsid w:val="0058137C"/>
    <w:rsid w:val="00581D10"/>
    <w:rsid w:val="005927DC"/>
    <w:rsid w:val="005A0A06"/>
    <w:rsid w:val="005A514B"/>
    <w:rsid w:val="005A58A4"/>
    <w:rsid w:val="005A63B0"/>
    <w:rsid w:val="005B4D1C"/>
    <w:rsid w:val="005B7551"/>
    <w:rsid w:val="005C3C9B"/>
    <w:rsid w:val="005C5155"/>
    <w:rsid w:val="005D31C2"/>
    <w:rsid w:val="005D388A"/>
    <w:rsid w:val="005D3DFE"/>
    <w:rsid w:val="005D5417"/>
    <w:rsid w:val="005D654F"/>
    <w:rsid w:val="005E0417"/>
    <w:rsid w:val="005E0992"/>
    <w:rsid w:val="005E72CA"/>
    <w:rsid w:val="005F06A2"/>
    <w:rsid w:val="005F366F"/>
    <w:rsid w:val="005F4F92"/>
    <w:rsid w:val="005F5AEA"/>
    <w:rsid w:val="00602AE6"/>
    <w:rsid w:val="00604582"/>
    <w:rsid w:val="00607116"/>
    <w:rsid w:val="00615CB0"/>
    <w:rsid w:val="00615E18"/>
    <w:rsid w:val="00616DF1"/>
    <w:rsid w:val="00623A65"/>
    <w:rsid w:val="00624476"/>
    <w:rsid w:val="006250F3"/>
    <w:rsid w:val="0062642D"/>
    <w:rsid w:val="00635338"/>
    <w:rsid w:val="0063602E"/>
    <w:rsid w:val="006363C2"/>
    <w:rsid w:val="006366B0"/>
    <w:rsid w:val="006413F6"/>
    <w:rsid w:val="0064559D"/>
    <w:rsid w:val="006468BB"/>
    <w:rsid w:val="00650084"/>
    <w:rsid w:val="006522E2"/>
    <w:rsid w:val="00652963"/>
    <w:rsid w:val="00654955"/>
    <w:rsid w:val="00660DAE"/>
    <w:rsid w:val="00662217"/>
    <w:rsid w:val="0066469D"/>
    <w:rsid w:val="00665881"/>
    <w:rsid w:val="0067767B"/>
    <w:rsid w:val="00682D7A"/>
    <w:rsid w:val="0069387E"/>
    <w:rsid w:val="006A1540"/>
    <w:rsid w:val="006A3AAA"/>
    <w:rsid w:val="006A5D4F"/>
    <w:rsid w:val="006A6567"/>
    <w:rsid w:val="006B1E2D"/>
    <w:rsid w:val="006B3995"/>
    <w:rsid w:val="006B7253"/>
    <w:rsid w:val="006C0B30"/>
    <w:rsid w:val="006C1632"/>
    <w:rsid w:val="006C2F52"/>
    <w:rsid w:val="006C34B9"/>
    <w:rsid w:val="006C41BD"/>
    <w:rsid w:val="006C7034"/>
    <w:rsid w:val="006C7C81"/>
    <w:rsid w:val="006D0339"/>
    <w:rsid w:val="006D2C34"/>
    <w:rsid w:val="006E2DC8"/>
    <w:rsid w:val="006F014C"/>
    <w:rsid w:val="006F2C4C"/>
    <w:rsid w:val="006F5BE4"/>
    <w:rsid w:val="006F757A"/>
    <w:rsid w:val="006F7646"/>
    <w:rsid w:val="0070118B"/>
    <w:rsid w:val="0070175D"/>
    <w:rsid w:val="007025BF"/>
    <w:rsid w:val="00703574"/>
    <w:rsid w:val="007073B1"/>
    <w:rsid w:val="00707499"/>
    <w:rsid w:val="00707EE1"/>
    <w:rsid w:val="00714122"/>
    <w:rsid w:val="00717623"/>
    <w:rsid w:val="00721769"/>
    <w:rsid w:val="00726465"/>
    <w:rsid w:val="00727DFB"/>
    <w:rsid w:val="0073089E"/>
    <w:rsid w:val="007338F5"/>
    <w:rsid w:val="007339FE"/>
    <w:rsid w:val="00733E6A"/>
    <w:rsid w:val="0073573C"/>
    <w:rsid w:val="007407C7"/>
    <w:rsid w:val="0074129A"/>
    <w:rsid w:val="00751C4D"/>
    <w:rsid w:val="0075387F"/>
    <w:rsid w:val="00754605"/>
    <w:rsid w:val="00761632"/>
    <w:rsid w:val="00763183"/>
    <w:rsid w:val="007632CC"/>
    <w:rsid w:val="00764D34"/>
    <w:rsid w:val="0076787A"/>
    <w:rsid w:val="00772FC7"/>
    <w:rsid w:val="00774544"/>
    <w:rsid w:val="00774C78"/>
    <w:rsid w:val="00775F35"/>
    <w:rsid w:val="007842FA"/>
    <w:rsid w:val="00786CD5"/>
    <w:rsid w:val="00786FAB"/>
    <w:rsid w:val="00790B76"/>
    <w:rsid w:val="00790F73"/>
    <w:rsid w:val="00792E6D"/>
    <w:rsid w:val="007942D0"/>
    <w:rsid w:val="007952BE"/>
    <w:rsid w:val="00796231"/>
    <w:rsid w:val="00796A69"/>
    <w:rsid w:val="007979DB"/>
    <w:rsid w:val="007A45C7"/>
    <w:rsid w:val="007A54FC"/>
    <w:rsid w:val="007B64B6"/>
    <w:rsid w:val="007B7BD1"/>
    <w:rsid w:val="007C10CC"/>
    <w:rsid w:val="007C1E79"/>
    <w:rsid w:val="007C3CA5"/>
    <w:rsid w:val="007C3D12"/>
    <w:rsid w:val="007C4E76"/>
    <w:rsid w:val="007E1688"/>
    <w:rsid w:val="007E6099"/>
    <w:rsid w:val="007E6790"/>
    <w:rsid w:val="007E758D"/>
    <w:rsid w:val="007E7CAC"/>
    <w:rsid w:val="007F034E"/>
    <w:rsid w:val="007F11A6"/>
    <w:rsid w:val="007F360A"/>
    <w:rsid w:val="007F7019"/>
    <w:rsid w:val="008046D7"/>
    <w:rsid w:val="008057BA"/>
    <w:rsid w:val="00805A1E"/>
    <w:rsid w:val="008076C8"/>
    <w:rsid w:val="00815924"/>
    <w:rsid w:val="008223B6"/>
    <w:rsid w:val="00823346"/>
    <w:rsid w:val="00825156"/>
    <w:rsid w:val="00826B12"/>
    <w:rsid w:val="008355E6"/>
    <w:rsid w:val="00835609"/>
    <w:rsid w:val="00840541"/>
    <w:rsid w:val="00840EB2"/>
    <w:rsid w:val="00841C86"/>
    <w:rsid w:val="0084308D"/>
    <w:rsid w:val="00846050"/>
    <w:rsid w:val="0084705C"/>
    <w:rsid w:val="008562E1"/>
    <w:rsid w:val="00856496"/>
    <w:rsid w:val="0086419B"/>
    <w:rsid w:val="00866349"/>
    <w:rsid w:val="0086797F"/>
    <w:rsid w:val="00872A04"/>
    <w:rsid w:val="00876C7D"/>
    <w:rsid w:val="00885AC5"/>
    <w:rsid w:val="008968AA"/>
    <w:rsid w:val="008971EA"/>
    <w:rsid w:val="00897FE3"/>
    <w:rsid w:val="008A0429"/>
    <w:rsid w:val="008A1294"/>
    <w:rsid w:val="008A13F7"/>
    <w:rsid w:val="008A1A8C"/>
    <w:rsid w:val="008A24E7"/>
    <w:rsid w:val="008A3C79"/>
    <w:rsid w:val="008A7A38"/>
    <w:rsid w:val="008C06E8"/>
    <w:rsid w:val="008C5568"/>
    <w:rsid w:val="008C5798"/>
    <w:rsid w:val="008C67C1"/>
    <w:rsid w:val="008D0210"/>
    <w:rsid w:val="008D12AC"/>
    <w:rsid w:val="008D12AE"/>
    <w:rsid w:val="008D4F53"/>
    <w:rsid w:val="008D765D"/>
    <w:rsid w:val="008E2647"/>
    <w:rsid w:val="008F0E88"/>
    <w:rsid w:val="008F1F53"/>
    <w:rsid w:val="008F2AFF"/>
    <w:rsid w:val="008F542B"/>
    <w:rsid w:val="009053D1"/>
    <w:rsid w:val="00905F53"/>
    <w:rsid w:val="0091504E"/>
    <w:rsid w:val="00916D00"/>
    <w:rsid w:val="00920C18"/>
    <w:rsid w:val="00922F3C"/>
    <w:rsid w:val="00931CED"/>
    <w:rsid w:val="00931FC9"/>
    <w:rsid w:val="00932ADF"/>
    <w:rsid w:val="00933533"/>
    <w:rsid w:val="00935B04"/>
    <w:rsid w:val="00942900"/>
    <w:rsid w:val="009430AA"/>
    <w:rsid w:val="009466A4"/>
    <w:rsid w:val="009479D7"/>
    <w:rsid w:val="0095048E"/>
    <w:rsid w:val="00950A0E"/>
    <w:rsid w:val="00951470"/>
    <w:rsid w:val="00953B23"/>
    <w:rsid w:val="00961226"/>
    <w:rsid w:val="00961A95"/>
    <w:rsid w:val="00962145"/>
    <w:rsid w:val="00963FDD"/>
    <w:rsid w:val="00970D5E"/>
    <w:rsid w:val="00975319"/>
    <w:rsid w:val="0098142A"/>
    <w:rsid w:val="00983669"/>
    <w:rsid w:val="00987BE5"/>
    <w:rsid w:val="00992537"/>
    <w:rsid w:val="00996726"/>
    <w:rsid w:val="009A03CA"/>
    <w:rsid w:val="009A2A76"/>
    <w:rsid w:val="009A2D6A"/>
    <w:rsid w:val="009B0929"/>
    <w:rsid w:val="009B408E"/>
    <w:rsid w:val="009B7AFB"/>
    <w:rsid w:val="009B7F1B"/>
    <w:rsid w:val="009C15FD"/>
    <w:rsid w:val="009C192B"/>
    <w:rsid w:val="009C3A58"/>
    <w:rsid w:val="009C50F0"/>
    <w:rsid w:val="009C59B6"/>
    <w:rsid w:val="009C65E6"/>
    <w:rsid w:val="009D1849"/>
    <w:rsid w:val="009D222F"/>
    <w:rsid w:val="009D22E4"/>
    <w:rsid w:val="009E1F09"/>
    <w:rsid w:val="009E46C2"/>
    <w:rsid w:val="009E4A47"/>
    <w:rsid w:val="009E4AAE"/>
    <w:rsid w:val="009E54F6"/>
    <w:rsid w:val="009E563D"/>
    <w:rsid w:val="009E66CA"/>
    <w:rsid w:val="009F2874"/>
    <w:rsid w:val="009F2895"/>
    <w:rsid w:val="009F3146"/>
    <w:rsid w:val="009F7B63"/>
    <w:rsid w:val="00A01260"/>
    <w:rsid w:val="00A06882"/>
    <w:rsid w:val="00A23F61"/>
    <w:rsid w:val="00A24F97"/>
    <w:rsid w:val="00A25854"/>
    <w:rsid w:val="00A314C4"/>
    <w:rsid w:val="00A4174C"/>
    <w:rsid w:val="00A43729"/>
    <w:rsid w:val="00A46CC7"/>
    <w:rsid w:val="00A53B83"/>
    <w:rsid w:val="00A6429C"/>
    <w:rsid w:val="00A6614A"/>
    <w:rsid w:val="00A706F5"/>
    <w:rsid w:val="00A721F4"/>
    <w:rsid w:val="00A74E10"/>
    <w:rsid w:val="00A8150E"/>
    <w:rsid w:val="00A8645F"/>
    <w:rsid w:val="00A928B6"/>
    <w:rsid w:val="00A946E3"/>
    <w:rsid w:val="00AA0170"/>
    <w:rsid w:val="00AA0C40"/>
    <w:rsid w:val="00AB4B41"/>
    <w:rsid w:val="00AB5590"/>
    <w:rsid w:val="00AB714C"/>
    <w:rsid w:val="00AB722A"/>
    <w:rsid w:val="00AC1086"/>
    <w:rsid w:val="00AC3B87"/>
    <w:rsid w:val="00AC4C47"/>
    <w:rsid w:val="00AC58DE"/>
    <w:rsid w:val="00AC7B8B"/>
    <w:rsid w:val="00AD0628"/>
    <w:rsid w:val="00AD2904"/>
    <w:rsid w:val="00AD2FC2"/>
    <w:rsid w:val="00AD33F6"/>
    <w:rsid w:val="00AD63D4"/>
    <w:rsid w:val="00AD7880"/>
    <w:rsid w:val="00AE14B1"/>
    <w:rsid w:val="00AF1DCE"/>
    <w:rsid w:val="00AF3F03"/>
    <w:rsid w:val="00AF401F"/>
    <w:rsid w:val="00AF4A00"/>
    <w:rsid w:val="00AF6314"/>
    <w:rsid w:val="00B02E97"/>
    <w:rsid w:val="00B05FB6"/>
    <w:rsid w:val="00B061B4"/>
    <w:rsid w:val="00B07267"/>
    <w:rsid w:val="00B11A1A"/>
    <w:rsid w:val="00B130BE"/>
    <w:rsid w:val="00B154CD"/>
    <w:rsid w:val="00B25C12"/>
    <w:rsid w:val="00B2609F"/>
    <w:rsid w:val="00B26946"/>
    <w:rsid w:val="00B30229"/>
    <w:rsid w:val="00B30545"/>
    <w:rsid w:val="00B30E4A"/>
    <w:rsid w:val="00B32FAE"/>
    <w:rsid w:val="00B353CE"/>
    <w:rsid w:val="00B366E4"/>
    <w:rsid w:val="00B416FA"/>
    <w:rsid w:val="00B41BFE"/>
    <w:rsid w:val="00B43A03"/>
    <w:rsid w:val="00B44660"/>
    <w:rsid w:val="00B45B94"/>
    <w:rsid w:val="00B45C33"/>
    <w:rsid w:val="00B5100C"/>
    <w:rsid w:val="00B51E7F"/>
    <w:rsid w:val="00B532FD"/>
    <w:rsid w:val="00B63F3F"/>
    <w:rsid w:val="00B65108"/>
    <w:rsid w:val="00B722C0"/>
    <w:rsid w:val="00B73628"/>
    <w:rsid w:val="00B73A96"/>
    <w:rsid w:val="00B7420C"/>
    <w:rsid w:val="00B76284"/>
    <w:rsid w:val="00B76BCA"/>
    <w:rsid w:val="00B7728D"/>
    <w:rsid w:val="00B82E57"/>
    <w:rsid w:val="00B91CDC"/>
    <w:rsid w:val="00BA0FC0"/>
    <w:rsid w:val="00BA2F5C"/>
    <w:rsid w:val="00BA4977"/>
    <w:rsid w:val="00BA58CB"/>
    <w:rsid w:val="00BB1529"/>
    <w:rsid w:val="00BB3010"/>
    <w:rsid w:val="00BC2C5D"/>
    <w:rsid w:val="00BC3AB9"/>
    <w:rsid w:val="00BC47AD"/>
    <w:rsid w:val="00BD21C0"/>
    <w:rsid w:val="00BD2BE2"/>
    <w:rsid w:val="00BD33E0"/>
    <w:rsid w:val="00BE0F7C"/>
    <w:rsid w:val="00BE1883"/>
    <w:rsid w:val="00BF107D"/>
    <w:rsid w:val="00BF3066"/>
    <w:rsid w:val="00C00C23"/>
    <w:rsid w:val="00C029DD"/>
    <w:rsid w:val="00C02E2C"/>
    <w:rsid w:val="00C03917"/>
    <w:rsid w:val="00C06D8E"/>
    <w:rsid w:val="00C106BB"/>
    <w:rsid w:val="00C1111A"/>
    <w:rsid w:val="00C1227A"/>
    <w:rsid w:val="00C1432B"/>
    <w:rsid w:val="00C2099D"/>
    <w:rsid w:val="00C20C93"/>
    <w:rsid w:val="00C21D73"/>
    <w:rsid w:val="00C2232E"/>
    <w:rsid w:val="00C27F58"/>
    <w:rsid w:val="00C34974"/>
    <w:rsid w:val="00C37977"/>
    <w:rsid w:val="00C41603"/>
    <w:rsid w:val="00C43D00"/>
    <w:rsid w:val="00C467DF"/>
    <w:rsid w:val="00C47DCC"/>
    <w:rsid w:val="00C5322C"/>
    <w:rsid w:val="00C53E14"/>
    <w:rsid w:val="00C5411A"/>
    <w:rsid w:val="00C556BB"/>
    <w:rsid w:val="00C6053E"/>
    <w:rsid w:val="00C60916"/>
    <w:rsid w:val="00C647B2"/>
    <w:rsid w:val="00C65A2B"/>
    <w:rsid w:val="00C76E96"/>
    <w:rsid w:val="00C76EAA"/>
    <w:rsid w:val="00C81DA0"/>
    <w:rsid w:val="00C82F6F"/>
    <w:rsid w:val="00C91213"/>
    <w:rsid w:val="00C9125D"/>
    <w:rsid w:val="00C91BB0"/>
    <w:rsid w:val="00C96796"/>
    <w:rsid w:val="00C96DE0"/>
    <w:rsid w:val="00CA0395"/>
    <w:rsid w:val="00CA2534"/>
    <w:rsid w:val="00CA4E48"/>
    <w:rsid w:val="00CA6AEB"/>
    <w:rsid w:val="00CA7AA7"/>
    <w:rsid w:val="00CB0D94"/>
    <w:rsid w:val="00CB3F4C"/>
    <w:rsid w:val="00CB5FA0"/>
    <w:rsid w:val="00CC06B0"/>
    <w:rsid w:val="00CC3F5E"/>
    <w:rsid w:val="00CC435D"/>
    <w:rsid w:val="00CC4D2E"/>
    <w:rsid w:val="00CD2AF1"/>
    <w:rsid w:val="00CD44C6"/>
    <w:rsid w:val="00CD79B6"/>
    <w:rsid w:val="00CE13BE"/>
    <w:rsid w:val="00CE3569"/>
    <w:rsid w:val="00CE37ED"/>
    <w:rsid w:val="00CE4F28"/>
    <w:rsid w:val="00CF081F"/>
    <w:rsid w:val="00CF3963"/>
    <w:rsid w:val="00CF3BB6"/>
    <w:rsid w:val="00CF6215"/>
    <w:rsid w:val="00D02560"/>
    <w:rsid w:val="00D03255"/>
    <w:rsid w:val="00D03E9B"/>
    <w:rsid w:val="00D052EA"/>
    <w:rsid w:val="00D0755B"/>
    <w:rsid w:val="00D1202B"/>
    <w:rsid w:val="00D12901"/>
    <w:rsid w:val="00D135EE"/>
    <w:rsid w:val="00D145C2"/>
    <w:rsid w:val="00D22102"/>
    <w:rsid w:val="00D22243"/>
    <w:rsid w:val="00D33311"/>
    <w:rsid w:val="00D33A8A"/>
    <w:rsid w:val="00D43C55"/>
    <w:rsid w:val="00D44116"/>
    <w:rsid w:val="00D44B1F"/>
    <w:rsid w:val="00D45CEF"/>
    <w:rsid w:val="00D470A7"/>
    <w:rsid w:val="00D47F37"/>
    <w:rsid w:val="00D51A35"/>
    <w:rsid w:val="00D5243F"/>
    <w:rsid w:val="00D53F86"/>
    <w:rsid w:val="00D54A42"/>
    <w:rsid w:val="00D56437"/>
    <w:rsid w:val="00D609BA"/>
    <w:rsid w:val="00D6392C"/>
    <w:rsid w:val="00D64DD4"/>
    <w:rsid w:val="00D66D64"/>
    <w:rsid w:val="00D734BC"/>
    <w:rsid w:val="00D73DCD"/>
    <w:rsid w:val="00D74336"/>
    <w:rsid w:val="00D754D6"/>
    <w:rsid w:val="00D76226"/>
    <w:rsid w:val="00D8274E"/>
    <w:rsid w:val="00D900B7"/>
    <w:rsid w:val="00D90555"/>
    <w:rsid w:val="00D92932"/>
    <w:rsid w:val="00D94BA3"/>
    <w:rsid w:val="00D9548F"/>
    <w:rsid w:val="00D974BC"/>
    <w:rsid w:val="00DA0D9C"/>
    <w:rsid w:val="00DA5A09"/>
    <w:rsid w:val="00DA682A"/>
    <w:rsid w:val="00DB7A0A"/>
    <w:rsid w:val="00DC4D8F"/>
    <w:rsid w:val="00DC7608"/>
    <w:rsid w:val="00DC7729"/>
    <w:rsid w:val="00DD0C71"/>
    <w:rsid w:val="00DD0E8D"/>
    <w:rsid w:val="00DD3863"/>
    <w:rsid w:val="00DD7629"/>
    <w:rsid w:val="00DE0610"/>
    <w:rsid w:val="00DE2F8F"/>
    <w:rsid w:val="00DE4EC9"/>
    <w:rsid w:val="00DF0C7B"/>
    <w:rsid w:val="00DF15A6"/>
    <w:rsid w:val="00DF2649"/>
    <w:rsid w:val="00E003D4"/>
    <w:rsid w:val="00E049A9"/>
    <w:rsid w:val="00E05F65"/>
    <w:rsid w:val="00E1406B"/>
    <w:rsid w:val="00E200ED"/>
    <w:rsid w:val="00E204E3"/>
    <w:rsid w:val="00E20752"/>
    <w:rsid w:val="00E22456"/>
    <w:rsid w:val="00E27093"/>
    <w:rsid w:val="00E32CFE"/>
    <w:rsid w:val="00E33583"/>
    <w:rsid w:val="00E36D2E"/>
    <w:rsid w:val="00E4042E"/>
    <w:rsid w:val="00E42574"/>
    <w:rsid w:val="00E50856"/>
    <w:rsid w:val="00E600F8"/>
    <w:rsid w:val="00E63415"/>
    <w:rsid w:val="00E6779D"/>
    <w:rsid w:val="00E6790B"/>
    <w:rsid w:val="00E70D53"/>
    <w:rsid w:val="00E72740"/>
    <w:rsid w:val="00E72B0B"/>
    <w:rsid w:val="00E75FD0"/>
    <w:rsid w:val="00E77430"/>
    <w:rsid w:val="00E84691"/>
    <w:rsid w:val="00E87916"/>
    <w:rsid w:val="00E90027"/>
    <w:rsid w:val="00E90295"/>
    <w:rsid w:val="00E919E9"/>
    <w:rsid w:val="00E92437"/>
    <w:rsid w:val="00E927BF"/>
    <w:rsid w:val="00E936A1"/>
    <w:rsid w:val="00EA21C0"/>
    <w:rsid w:val="00EA534D"/>
    <w:rsid w:val="00EA69AB"/>
    <w:rsid w:val="00EB1782"/>
    <w:rsid w:val="00EB38FA"/>
    <w:rsid w:val="00EB65A7"/>
    <w:rsid w:val="00EB6F33"/>
    <w:rsid w:val="00EC4984"/>
    <w:rsid w:val="00EC63C9"/>
    <w:rsid w:val="00EC6F74"/>
    <w:rsid w:val="00EC7A35"/>
    <w:rsid w:val="00ED17FE"/>
    <w:rsid w:val="00ED72CB"/>
    <w:rsid w:val="00EE0D3E"/>
    <w:rsid w:val="00EE35DB"/>
    <w:rsid w:val="00EE68B6"/>
    <w:rsid w:val="00EE744F"/>
    <w:rsid w:val="00F00F75"/>
    <w:rsid w:val="00F01014"/>
    <w:rsid w:val="00F0158A"/>
    <w:rsid w:val="00F05575"/>
    <w:rsid w:val="00F0626E"/>
    <w:rsid w:val="00F11480"/>
    <w:rsid w:val="00F12768"/>
    <w:rsid w:val="00F128C5"/>
    <w:rsid w:val="00F2355C"/>
    <w:rsid w:val="00F3081E"/>
    <w:rsid w:val="00F308F3"/>
    <w:rsid w:val="00F30BA9"/>
    <w:rsid w:val="00F33DC5"/>
    <w:rsid w:val="00F350DB"/>
    <w:rsid w:val="00F35164"/>
    <w:rsid w:val="00F36A34"/>
    <w:rsid w:val="00F37597"/>
    <w:rsid w:val="00F47B4D"/>
    <w:rsid w:val="00F52458"/>
    <w:rsid w:val="00F53727"/>
    <w:rsid w:val="00F5562C"/>
    <w:rsid w:val="00F56815"/>
    <w:rsid w:val="00F605BA"/>
    <w:rsid w:val="00F60631"/>
    <w:rsid w:val="00F63787"/>
    <w:rsid w:val="00F65975"/>
    <w:rsid w:val="00F67C64"/>
    <w:rsid w:val="00F71D2D"/>
    <w:rsid w:val="00F7265C"/>
    <w:rsid w:val="00F76E5D"/>
    <w:rsid w:val="00F8085C"/>
    <w:rsid w:val="00F8140E"/>
    <w:rsid w:val="00F81E0E"/>
    <w:rsid w:val="00F8531B"/>
    <w:rsid w:val="00F93672"/>
    <w:rsid w:val="00FA1440"/>
    <w:rsid w:val="00FA18EF"/>
    <w:rsid w:val="00FA370C"/>
    <w:rsid w:val="00FA4B81"/>
    <w:rsid w:val="00FA7FFA"/>
    <w:rsid w:val="00FB1912"/>
    <w:rsid w:val="00FB1936"/>
    <w:rsid w:val="00FC0ED3"/>
    <w:rsid w:val="00FC0F2B"/>
    <w:rsid w:val="00FC141D"/>
    <w:rsid w:val="00FC4345"/>
    <w:rsid w:val="00FC4552"/>
    <w:rsid w:val="00FC4835"/>
    <w:rsid w:val="00FC4C3C"/>
    <w:rsid w:val="00FD0773"/>
    <w:rsid w:val="00FD0C2B"/>
    <w:rsid w:val="00FD1228"/>
    <w:rsid w:val="00FD2026"/>
    <w:rsid w:val="00FD24D6"/>
    <w:rsid w:val="00FD316A"/>
    <w:rsid w:val="00FD321F"/>
    <w:rsid w:val="00FD39ED"/>
    <w:rsid w:val="00FD4155"/>
    <w:rsid w:val="00FD6A0D"/>
    <w:rsid w:val="00FE2333"/>
    <w:rsid w:val="00FE670B"/>
    <w:rsid w:val="00FE7040"/>
    <w:rsid w:val="00FE7F89"/>
    <w:rsid w:val="00FF0AA6"/>
    <w:rsid w:val="00FF15E4"/>
    <w:rsid w:val="00FF2754"/>
    <w:rsid w:val="00FF2C4D"/>
    <w:rsid w:val="00FF3BAA"/>
    <w:rsid w:val="00FF7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303DB"/>
  <w15:docId w15:val="{F34C870C-06CF-4600-9E89-40C408B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6"/>
    <w:rPr>
      <w:rFonts w:ascii="Calibri" w:eastAsia="Calibri" w:hAnsi="Calibri" w:cs="Times New Roman"/>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99"/>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character" w:customStyle="1" w:styleId="apple-converted-space">
    <w:name w:val="apple-converted-space"/>
    <w:basedOn w:val="Fuentedeprrafopredeter"/>
    <w:rsid w:val="001D1BEF"/>
  </w:style>
  <w:style w:type="paragraph" w:styleId="Revisin">
    <w:name w:val="Revision"/>
    <w:hidden/>
    <w:uiPriority w:val="99"/>
    <w:semiHidden/>
    <w:rsid w:val="00AC4C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143008989">
      <w:bodyDiv w:val="1"/>
      <w:marLeft w:val="0"/>
      <w:marRight w:val="0"/>
      <w:marTop w:val="0"/>
      <w:marBottom w:val="0"/>
      <w:divBdr>
        <w:top w:val="none" w:sz="0" w:space="0" w:color="auto"/>
        <w:left w:val="none" w:sz="0" w:space="0" w:color="auto"/>
        <w:bottom w:val="none" w:sz="0" w:space="0" w:color="auto"/>
        <w:right w:val="none" w:sz="0" w:space="0" w:color="auto"/>
      </w:divBdr>
      <w:divsChild>
        <w:div w:id="986520708">
          <w:marLeft w:val="0"/>
          <w:marRight w:val="0"/>
          <w:marTop w:val="0"/>
          <w:marBottom w:val="0"/>
          <w:divBdr>
            <w:top w:val="none" w:sz="0" w:space="0" w:color="auto"/>
            <w:left w:val="none" w:sz="0" w:space="0" w:color="auto"/>
            <w:bottom w:val="none" w:sz="0" w:space="0" w:color="auto"/>
            <w:right w:val="none" w:sz="0" w:space="0" w:color="auto"/>
          </w:divBdr>
        </w:div>
      </w:divsChild>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21486951">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453642922">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640774493">
      <w:bodyDiv w:val="1"/>
      <w:marLeft w:val="0"/>
      <w:marRight w:val="0"/>
      <w:marTop w:val="0"/>
      <w:marBottom w:val="0"/>
      <w:divBdr>
        <w:top w:val="none" w:sz="0" w:space="0" w:color="auto"/>
        <w:left w:val="none" w:sz="0" w:space="0" w:color="auto"/>
        <w:bottom w:val="none" w:sz="0" w:space="0" w:color="auto"/>
        <w:right w:val="none" w:sz="0" w:space="0" w:color="auto"/>
      </w:divBdr>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85249655">
      <w:bodyDiv w:val="1"/>
      <w:marLeft w:val="0"/>
      <w:marRight w:val="0"/>
      <w:marTop w:val="0"/>
      <w:marBottom w:val="0"/>
      <w:divBdr>
        <w:top w:val="none" w:sz="0" w:space="0" w:color="auto"/>
        <w:left w:val="none" w:sz="0" w:space="0" w:color="auto"/>
        <w:bottom w:val="none" w:sz="0" w:space="0" w:color="auto"/>
        <w:right w:val="none" w:sz="0" w:space="0" w:color="auto"/>
      </w:divBdr>
    </w:div>
    <w:div w:id="1487817565">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6rhzspb" TargetMode="External"/><Relationship Id="rId18" Type="http://schemas.openxmlformats.org/officeDocument/2006/relationships/hyperlink" Target="https://tinyurl.com/yyshtshc" TargetMode="External"/><Relationship Id="rId26" Type="http://schemas.openxmlformats.org/officeDocument/2006/relationships/hyperlink" Target="https://www.uco.es/estudios/idep/agroalimentacion" TargetMode="External"/><Relationship Id="rId39" Type="http://schemas.openxmlformats.org/officeDocument/2006/relationships/hyperlink" Target="http://internacional.uca.es/%20" TargetMode="External"/><Relationship Id="rId21" Type="http://schemas.openxmlformats.org/officeDocument/2006/relationships/hyperlink" Target="https://ucalidad.uca.es/versiones-anteriores-del-sgc/" TargetMode="External"/><Relationship Id="rId34" Type="http://schemas.openxmlformats.org/officeDocument/2006/relationships/hyperlink" Target="https://cau.uca.es/cau/indiceGlobal.do" TargetMode="External"/><Relationship Id="rId42" Type="http://schemas.openxmlformats.org/officeDocument/2006/relationships/hyperlink" Target="https://bit.ly/39gyB6m" TargetMode="External"/><Relationship Id="rId47" Type="http://schemas.openxmlformats.org/officeDocument/2006/relationships/hyperlink" Target="https://bit.ly/2WFsseR" TargetMode="External"/><Relationship Id="rId50" Type="http://schemas.openxmlformats.org/officeDocument/2006/relationships/hyperlink" Target="https://www.uca.es/evento/iv-feria-de-empleo-virtual-2021-3/"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encias.uca.es/covid-fc/" TargetMode="External"/><Relationship Id="rId29" Type="http://schemas.openxmlformats.org/officeDocument/2006/relationships/hyperlink" Target="https://bit.ly/2OsUBRE" TargetMode="External"/><Relationship Id="rId11" Type="http://schemas.openxmlformats.org/officeDocument/2006/relationships/hyperlink" Target="https://bit.ly/3FCWV19" TargetMode="External"/><Relationship Id="rId24" Type="http://schemas.openxmlformats.org/officeDocument/2006/relationships/hyperlink" Target="https://ciencias.uca.es/horarios-2020-2021/" TargetMode="External"/><Relationship Id="rId32" Type="http://schemas.openxmlformats.org/officeDocument/2006/relationships/hyperlink" Target="http://bau.uca.es" TargetMode="External"/><Relationship Id="rId37" Type="http://schemas.openxmlformats.org/officeDocument/2006/relationships/hyperlink" Target="http://vrinvestigacion.uca.es/institutos-de-investigacion/%20" TargetMode="External"/><Relationship Id="rId40" Type="http://schemas.openxmlformats.org/officeDocument/2006/relationships/hyperlink" Target="https://bit.ly/39gPjST" TargetMode="External"/><Relationship Id="rId45" Type="http://schemas.openxmlformats.org/officeDocument/2006/relationships/hyperlink" Target="https://www.facebook.com/ciencias.uca"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tinyurl.com/y6rhzspb" TargetMode="External"/><Relationship Id="rId4" Type="http://schemas.openxmlformats.org/officeDocument/2006/relationships/settings" Target="settings.xml"/><Relationship Id="rId9" Type="http://schemas.openxmlformats.org/officeDocument/2006/relationships/hyperlink" Target="https://tinyurl.com/yyshtshc" TargetMode="External"/><Relationship Id="rId14" Type="http://schemas.openxmlformats.org/officeDocument/2006/relationships/hyperlink" Target="https://sistemadeinformacion.uca.es/pentaho/api/repos/%3APublico%3ACalidad%3AEncTitulo%3Aencue_RSGC_P08_01_B.prpt/viewer" TargetMode="External"/><Relationship Id="rId22" Type="http://schemas.openxmlformats.org/officeDocument/2006/relationships/hyperlink" Target="https://bit.ly/3iwhouc" TargetMode="External"/><Relationship Id="rId27" Type="http://schemas.openxmlformats.org/officeDocument/2006/relationships/hyperlink" Target="https://www.uca.es/wp-content/uploads/2020/06/Acuerdocriteriosadaptaci%C3%B3nense%C3%B1anzacurso2020-21.pdf" TargetMode="External"/><Relationship Id="rId30" Type="http://schemas.openxmlformats.org/officeDocument/2006/relationships/hyperlink" Target="https://bit.ly/2K5RsTu" TargetMode="External"/><Relationship Id="rId35" Type="http://schemas.openxmlformats.org/officeDocument/2006/relationships/hyperlink" Target="https://sire.uca.es" TargetMode="External"/><Relationship Id="rId43" Type="http://schemas.openxmlformats.org/officeDocument/2006/relationships/hyperlink" Target="https://bit.ly/2Bd48cy" TargetMode="External"/><Relationship Id="rId48" Type="http://schemas.openxmlformats.org/officeDocument/2006/relationships/hyperlink" Target="https://bit.ly/2BgtDtw;%20https:/bit.ly/2BhW0rk"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uco.es/webuco/buc/" TargetMode="External"/><Relationship Id="rId3" Type="http://schemas.openxmlformats.org/officeDocument/2006/relationships/styles" Target="styles.xml"/><Relationship Id="rId12" Type="http://schemas.openxmlformats.org/officeDocument/2006/relationships/hyperlink" Target="https://tinyurl.com/yyshtshc" TargetMode="External"/><Relationship Id="rId17" Type="http://schemas.openxmlformats.org/officeDocument/2006/relationships/hyperlink" Target="https://www.uco.es/estudios/idep/agroalimentacion%23adaptacion-covid-19" TargetMode="External"/><Relationship Id="rId25" Type="http://schemas.openxmlformats.org/officeDocument/2006/relationships/hyperlink" Target="https://asignaturas.uca.es/asig/" TargetMode="External"/><Relationship Id="rId33" Type="http://schemas.openxmlformats.org/officeDocument/2006/relationships/hyperlink" Target="https://buzon.uca.es/cau/index.do" TargetMode="External"/><Relationship Id="rId38" Type="http://schemas.openxmlformats.org/officeDocument/2006/relationships/hyperlink" Target="https://ciencias.uca.es/conocenos-infraestructuras-index/" TargetMode="External"/><Relationship Id="rId46" Type="http://schemas.openxmlformats.org/officeDocument/2006/relationships/hyperlink" Target="https://bit.ly/2OHqNRG" TargetMode="External"/><Relationship Id="rId20" Type="http://schemas.openxmlformats.org/officeDocument/2006/relationships/hyperlink" Target="https://ucalidad.uca.es/sistema-de-garantia-de-calidad-de-los-centros-3-0-en-vigor-a-partir-del-1-10-2021/" TargetMode="External"/><Relationship Id="rId41" Type="http://schemas.openxmlformats.org/officeDocument/2006/relationships/hyperlink" Target="https://bit.ly/2CS7qS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a.es/coronavirus/" TargetMode="External"/><Relationship Id="rId23" Type="http://schemas.openxmlformats.org/officeDocument/2006/relationships/hyperlink" Target="https://bit.ly/34n0onw" TargetMode="External"/><Relationship Id="rId28" Type="http://schemas.openxmlformats.org/officeDocument/2006/relationships/hyperlink" Target="https://ciencias.uca.es/41105-2/" TargetMode="External"/><Relationship Id="rId36" Type="http://schemas.openxmlformats.org/officeDocument/2006/relationships/hyperlink" Target="http://sccyt.uca.es/" TargetMode="External"/><Relationship Id="rId49" Type="http://schemas.openxmlformats.org/officeDocument/2006/relationships/hyperlink" Target="file:///C:\Users\jmgomez1\Downloads\(https:\bit.ly\3jAfgSm" TargetMode="External"/><Relationship Id="rId57" Type="http://schemas.openxmlformats.org/officeDocument/2006/relationships/fontTable" Target="fontTable.xml"/><Relationship Id="rId10" Type="http://schemas.openxmlformats.org/officeDocument/2006/relationships/hyperlink" Target="https://sistemadeinformacion.uca.es" TargetMode="External"/><Relationship Id="rId31" Type="http://schemas.openxmlformats.org/officeDocument/2006/relationships/hyperlink" Target="https://biblioteca.uca.es" TargetMode="External"/><Relationship Id="rId44" Type="http://schemas.openxmlformats.org/officeDocument/2006/relationships/hyperlink" Target="http://ciencias.uca.es" TargetMode="External"/><Relationship Id="rId52" Type="http://schemas.openxmlformats.org/officeDocument/2006/relationships/hyperlink" Target="https://www.uca.e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1019-868D-438E-B604-0B8EDC92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13978</Words>
  <Characters>76880</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Microsoft Office User</cp:lastModifiedBy>
  <cp:revision>2</cp:revision>
  <cp:lastPrinted>2021-11-05T09:19:00Z</cp:lastPrinted>
  <dcterms:created xsi:type="dcterms:W3CDTF">2022-02-21T16:39:00Z</dcterms:created>
  <dcterms:modified xsi:type="dcterms:W3CDTF">2022-02-21T16:39:00Z</dcterms:modified>
</cp:coreProperties>
</file>